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7"/>
        <w:gridCol w:w="7371"/>
      </w:tblGrid>
      <w:tr w:rsidR="00ED5FF9" w14:paraId="0423FCCC" w14:textId="77777777" w:rsidTr="00962479">
        <w:trPr>
          <w:trHeight w:val="211"/>
        </w:trPr>
        <w:tc>
          <w:tcPr>
            <w:tcW w:w="2268" w:type="dxa"/>
          </w:tcPr>
          <w:p w14:paraId="201326B2" w14:textId="77777777" w:rsidR="00ED5FF9" w:rsidRPr="00ED5FF9" w:rsidRDefault="00ED5FF9" w:rsidP="005D7F57">
            <w:pPr>
              <w:pStyle w:val="linkrevista"/>
            </w:pPr>
          </w:p>
        </w:tc>
        <w:tc>
          <w:tcPr>
            <w:tcW w:w="567" w:type="dxa"/>
          </w:tcPr>
          <w:p w14:paraId="19C049CA" w14:textId="77777777" w:rsidR="00ED5FF9" w:rsidRPr="00ED5FF9" w:rsidRDefault="00ED5FF9" w:rsidP="002728D6">
            <w:pPr>
              <w:rPr>
                <w:sz w:val="16"/>
                <w:szCs w:val="16"/>
              </w:rPr>
            </w:pPr>
          </w:p>
        </w:tc>
        <w:tc>
          <w:tcPr>
            <w:tcW w:w="7371" w:type="dxa"/>
            <w:vAlign w:val="center"/>
          </w:tcPr>
          <w:p w14:paraId="00DB9D08" w14:textId="7B446C7E" w:rsidR="00ED5FF9" w:rsidRPr="00F34164" w:rsidRDefault="00A427F5" w:rsidP="00F34164">
            <w:pPr>
              <w:pStyle w:val="linkrevista"/>
            </w:pPr>
            <w:hyperlink r:id="rId8" w:history="1">
              <w:r w:rsidR="001F3265">
                <w:t>https://periodicos.utfpr.edu.br/rbect</w:t>
              </w:r>
            </w:hyperlink>
          </w:p>
        </w:tc>
      </w:tr>
      <w:tr w:rsidR="00A77C0E" w14:paraId="4A3414C8" w14:textId="77777777" w:rsidTr="00962479">
        <w:trPr>
          <w:trHeight w:val="1964"/>
        </w:trPr>
        <w:tc>
          <w:tcPr>
            <w:tcW w:w="2268" w:type="dxa"/>
          </w:tcPr>
          <w:p w14:paraId="755A92A6" w14:textId="77777777" w:rsidR="00A77C0E" w:rsidRDefault="00A77C0E"/>
        </w:tc>
        <w:tc>
          <w:tcPr>
            <w:tcW w:w="567" w:type="dxa"/>
          </w:tcPr>
          <w:p w14:paraId="2EB8E929" w14:textId="77777777" w:rsidR="00A77C0E" w:rsidRDefault="00A77C0E" w:rsidP="002728D6"/>
        </w:tc>
        <w:tc>
          <w:tcPr>
            <w:tcW w:w="7371" w:type="dxa"/>
            <w:vAlign w:val="center"/>
          </w:tcPr>
          <w:p w14:paraId="7BDC0F91" w14:textId="77777777" w:rsidR="009A1C3E" w:rsidRPr="009E63D6" w:rsidRDefault="009A1C3E" w:rsidP="009A1C3E">
            <w:pPr>
              <w:pStyle w:val="tituloprincipal"/>
              <w:rPr>
                <w:color w:val="000000"/>
                <w14:textFill>
                  <w14:solidFill>
                    <w14:srgbClr w14:val="000000">
                      <w14:lumMod w14:val="85000"/>
                      <w14:lumOff w14:val="15000"/>
                    </w14:srgbClr>
                  </w14:solidFill>
                </w14:textFill>
              </w:rPr>
            </w:pPr>
            <w:r w:rsidRPr="009E63D6">
              <w:rPr>
                <w:color w:val="000000"/>
                <w14:textFill>
                  <w14:solidFill>
                    <w14:srgbClr w14:val="000000">
                      <w14:lumMod w14:val="85000"/>
                      <w14:lumOff w14:val="15000"/>
                    </w14:srgbClr>
                  </w14:solidFill>
                </w14:textFill>
              </w:rPr>
              <w:t xml:space="preserve">Evasão nos cursos de Engenharia: um olhar para os trabalhos do COBENGE de 2000 a 2014 </w:t>
            </w:r>
          </w:p>
          <w:p w14:paraId="06D5914E" w14:textId="1A1CD5AD" w:rsidR="00286B77" w:rsidRPr="009E63D6" w:rsidRDefault="009A1C3E" w:rsidP="009A1C3E">
            <w:pPr>
              <w:pStyle w:val="tituloprincipal"/>
              <w:jc w:val="center"/>
              <w:rPr>
                <w:color w:val="000000"/>
                <w:sz w:val="22"/>
                <w:szCs w:val="22"/>
                <w14:textFill>
                  <w14:solidFill>
                    <w14:srgbClr w14:val="000000">
                      <w14:lumMod w14:val="85000"/>
                      <w14:lumOff w14:val="15000"/>
                    </w14:srgbClr>
                  </w14:solidFill>
                </w14:textFill>
              </w:rPr>
            </w:pPr>
            <w:r w:rsidRPr="009E63D6">
              <w:rPr>
                <w:color w:val="000000"/>
                <w:sz w:val="22"/>
                <w:szCs w:val="22"/>
                <w14:textFill>
                  <w14:solidFill>
                    <w14:srgbClr w14:val="000000">
                      <w14:lumMod w14:val="85000"/>
                      <w14:lumOff w14:val="15000"/>
                    </w14:srgbClr>
                  </w14:solidFill>
                </w14:textFill>
              </w:rPr>
              <w:t>RESUMO</w:t>
            </w:r>
          </w:p>
        </w:tc>
      </w:tr>
      <w:tr w:rsidR="00A77C0E" w14:paraId="29436AFF" w14:textId="77777777" w:rsidTr="00962479">
        <w:trPr>
          <w:trHeight w:val="6968"/>
        </w:trPr>
        <w:tc>
          <w:tcPr>
            <w:tcW w:w="2268" w:type="dxa"/>
          </w:tcPr>
          <w:p w14:paraId="2D5DA258" w14:textId="379E13F4" w:rsidR="00601608" w:rsidRPr="00B41BB2" w:rsidRDefault="00887C86" w:rsidP="009E23F3">
            <w:pPr>
              <w:pStyle w:val="afiliacao"/>
            </w:pPr>
            <w:r>
              <w:rPr>
                <w:b/>
                <w:sz w:val="14"/>
                <w:szCs w:val="14"/>
              </w:rPr>
              <w:t>N</w:t>
            </w:r>
            <w:r w:rsidRPr="00887C86">
              <w:rPr>
                <w:b/>
                <w:sz w:val="14"/>
                <w:szCs w:val="14"/>
              </w:rPr>
              <w:t>ão identifique os autores</w:t>
            </w:r>
          </w:p>
        </w:tc>
        <w:tc>
          <w:tcPr>
            <w:tcW w:w="567" w:type="dxa"/>
          </w:tcPr>
          <w:p w14:paraId="7C29CDA0" w14:textId="77777777" w:rsidR="00A77C0E" w:rsidRDefault="00A77C0E" w:rsidP="00793268">
            <w:pPr>
              <w:jc w:val="both"/>
            </w:pPr>
          </w:p>
        </w:tc>
        <w:tc>
          <w:tcPr>
            <w:tcW w:w="7371" w:type="dxa"/>
          </w:tcPr>
          <w:p w14:paraId="47DD240D" w14:textId="77777777" w:rsidR="009A1C3E" w:rsidRPr="009E63D6" w:rsidRDefault="009A1C3E" w:rsidP="009A1C3E">
            <w:pPr>
              <w:pStyle w:val="resumo"/>
              <w:rPr>
                <w:color w:val="000000"/>
                <w:lang w:val="pt-PT"/>
                <w14:textFill>
                  <w14:solidFill>
                    <w14:srgbClr w14:val="000000">
                      <w14:lumMod w14:val="85000"/>
                      <w14:lumOff w14:val="15000"/>
                      <w14:lumMod w14:val="85000"/>
                      <w14:lumOff w14:val="15000"/>
                    </w14:srgbClr>
                  </w14:solidFill>
                </w14:textFill>
              </w:rPr>
            </w:pPr>
            <w:r w:rsidRPr="009E63D6">
              <w:rPr>
                <w:color w:val="000000"/>
                <w:lang w:val="pt-PT"/>
                <w14:textFill>
                  <w14:solidFill>
                    <w14:srgbClr w14:val="000000">
                      <w14:lumMod w14:val="85000"/>
                      <w14:lumOff w14:val="15000"/>
                      <w14:lumMod w14:val="85000"/>
                      <w14:lumOff w14:val="15000"/>
                    </w14:srgbClr>
                  </w14:solidFill>
                </w14:textFill>
              </w:rPr>
              <w:t>Este artigo tem como objetivo estudar a evasão no curso superior de Engenharia a partir dos trabalhados apresentados no Congresso Brasileiro de Educação em Engenharia (COBENGE), no período compreendido entre os anos de 2000 a 2014. O período escolhido para analisar os trabalhos do COBENGE coincide com o início da expansão do ensino superior no país em virtude de investimentos políticos e econômicos que contribuíram para a democratização da educação nacional. Teoricamente fundamenta-se em estudos que tratam sobre a evasão no Ensino Superior. Metodologicamente insere-se numa abordagem mista, pois a modalidade de pesquisa foi o estado da arte e a análise dos dados seguiu a abordagem estatística. A análise indicou que se faz necessário acolher os alunos, oportunizando ambientes em que eles possam preencher as lacunas conceituais advindas de uma possível formação educacional básica deficiente.</w:t>
            </w:r>
          </w:p>
          <w:p w14:paraId="09BCD6D3" w14:textId="77777777" w:rsidR="009A1C3E" w:rsidRPr="009E63D6" w:rsidRDefault="009A1C3E" w:rsidP="009A1C3E">
            <w:pPr>
              <w:pStyle w:val="resumo"/>
              <w:rPr>
                <w:color w:val="000000"/>
                <w:lang w:val="pt-PT"/>
                <w14:textFill>
                  <w14:solidFill>
                    <w14:srgbClr w14:val="000000">
                      <w14:lumMod w14:val="85000"/>
                      <w14:lumOff w14:val="15000"/>
                      <w14:lumMod w14:val="85000"/>
                      <w14:lumOff w14:val="15000"/>
                    </w14:srgbClr>
                  </w14:solidFill>
                </w14:textFill>
              </w:rPr>
            </w:pPr>
            <w:r w:rsidRPr="009E63D6">
              <w:rPr>
                <w:b/>
                <w:bCs/>
                <w:color w:val="000000"/>
                <w:lang w:val="pt-PT"/>
                <w14:textFill>
                  <w14:solidFill>
                    <w14:srgbClr w14:val="000000">
                      <w14:lumMod w14:val="85000"/>
                      <w14:lumOff w14:val="15000"/>
                      <w14:lumMod w14:val="85000"/>
                      <w14:lumOff w14:val="15000"/>
                    </w14:srgbClr>
                  </w14:solidFill>
                </w14:textFill>
              </w:rPr>
              <w:t>PALAVRAS-CHAVE</w:t>
            </w:r>
            <w:r w:rsidRPr="009E63D6">
              <w:rPr>
                <w:color w:val="000000"/>
                <w:lang w:val="pt-PT"/>
                <w14:textFill>
                  <w14:solidFill>
                    <w14:srgbClr w14:val="000000">
                      <w14:lumMod w14:val="85000"/>
                      <w14:lumOff w14:val="15000"/>
                      <w14:lumMod w14:val="85000"/>
                      <w14:lumOff w14:val="15000"/>
                    </w14:srgbClr>
                  </w14:solidFill>
                </w14:textFill>
              </w:rPr>
              <w:t>: Evasão nos cursos de Engenharia. Ensino Superior. Ensino de Matemática.</w:t>
            </w:r>
          </w:p>
          <w:p w14:paraId="36A9C04F" w14:textId="4377FC6F" w:rsidR="00A77C0E" w:rsidRPr="009E63D6" w:rsidRDefault="00A77C0E" w:rsidP="009C2A96">
            <w:pPr>
              <w:pStyle w:val="resumo"/>
              <w:rPr>
                <w:color w:val="000000"/>
                <w14:textFill>
                  <w14:solidFill>
                    <w14:srgbClr w14:val="000000">
                      <w14:lumMod w14:val="85000"/>
                      <w14:lumOff w14:val="15000"/>
                      <w14:lumMod w14:val="85000"/>
                      <w14:lumOff w14:val="15000"/>
                    </w14:srgbClr>
                  </w14:solidFill>
                </w14:textFill>
              </w:rPr>
            </w:pPr>
          </w:p>
        </w:tc>
      </w:tr>
    </w:tbl>
    <w:p w14:paraId="4E428479" w14:textId="108CF18D" w:rsidR="00402585" w:rsidRDefault="00402585" w:rsidP="008751D4">
      <w:pPr>
        <w:ind w:left="2835"/>
        <w:jc w:val="center"/>
        <w:rPr>
          <w:b/>
          <w:color w:val="533301"/>
          <w14:textFill>
            <w14:solidFill>
              <w14:srgbClr w14:val="533301">
                <w14:lumMod w14:val="85000"/>
                <w14:lumOff w14:val="15000"/>
              </w14:srgbClr>
            </w14:solidFill>
          </w14:textFill>
        </w:rPr>
      </w:pPr>
    </w:p>
    <w:p w14:paraId="0A1B7230" w14:textId="77777777" w:rsidR="00402585" w:rsidRDefault="00402585">
      <w:pPr>
        <w:spacing w:after="160" w:line="259" w:lineRule="auto"/>
        <w:rPr>
          <w:b/>
          <w:color w:val="533301"/>
          <w14:textFill>
            <w14:solidFill>
              <w14:srgbClr w14:val="533301">
                <w14:lumMod w14:val="85000"/>
                <w14:lumOff w14:val="15000"/>
              </w14:srgbClr>
            </w14:solidFill>
          </w14:textFill>
        </w:rPr>
      </w:pPr>
      <w:r>
        <w:rPr>
          <w:b/>
          <w:color w:val="533301"/>
          <w14:textFill>
            <w14:solidFill>
              <w14:srgbClr w14:val="533301">
                <w14:lumMod w14:val="85000"/>
                <w14:lumOff w14:val="15000"/>
              </w14:srgbClr>
            </w14:solidFill>
          </w14:textFill>
        </w:rPr>
        <w:br w:type="page"/>
      </w:r>
    </w:p>
    <w:p w14:paraId="3D0E955F" w14:textId="77777777" w:rsidR="009A1C3E" w:rsidRPr="009A1C3E" w:rsidRDefault="009A1C3E" w:rsidP="009A1C3E">
      <w:pPr>
        <w:pBdr>
          <w:top w:val="nil"/>
          <w:left w:val="nil"/>
          <w:bottom w:val="nil"/>
          <w:right w:val="nil"/>
          <w:between w:val="nil"/>
          <w:bar w:val="nil"/>
        </w:pBdr>
        <w:tabs>
          <w:tab w:val="left" w:pos="709"/>
        </w:tabs>
        <w:spacing w:before="480" w:after="240"/>
        <w:ind w:left="2835"/>
        <w:jc w:val="both"/>
        <w:outlineLvl w:val="0"/>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lastRenderedPageBreak/>
        <w:t>INTRODUÇÃO</w:t>
      </w:r>
    </w:p>
    <w:p w14:paraId="73851F25"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Atualmente a alta competitividade do mercado de trabalho aliada às mudanças sociais e econômicas afetadas pela globalização exigem “o melhor” da capacitação humana em todas as áreas profissionais. A Engenharia, como qualquer outra profissão, também requer mão de obra qualificada e atualizada para atender as demandas da sociedade. </w:t>
      </w:r>
    </w:p>
    <w:p w14:paraId="5508D323"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A qualificação que o mercado necessita é oriunda de uma formação adequada, “a educação em Engenharia no Brasil constitui um desafio diante de um cenário mundial que demanda uso intensivo de tecnologias e que exige, cada vez mais, um maior número de profissionais altamente qualificados” (Borges &amp; Almeida, 2013, p.72). Não se adequar a esse cenário, ou seja, não se atentar à formação de profissionais competentes e criativos, significa deixar o País atrasado no processo de desenvolvimento científico e tecnológico e distanciando-o, como propositor, do mercado de produtos de alta tecnologia e fortemente inovadores.</w:t>
      </w:r>
    </w:p>
    <w:p w14:paraId="4E98D9EE"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Para além da escassez de mão de obra qualificada, resultante, muitas vezes de uma “má” formação na graduação, há um outro fator que dificulta, do nosso ponto de vista, a colocação de novos profissionais, graduados em Engenharia, no mercado de trabalho brasileiro, que é o alto índice de evasão nos cursos superiores.    </w:t>
      </w:r>
    </w:p>
    <w:p w14:paraId="58ED4EBC" w14:textId="46C2F99A" w:rsidR="009A1C3E" w:rsidRPr="009A1C3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Segundo Lucchiari (2000) é preocupante e assustador o número expressivo de evasão no Ensino Superior, em um País que necessita de profissionais em todas as áreas. A evasão dos cursos de Engenharia segue na contramão das necessidades do mercado interno e se agrava ainda mais quando comparada a de outros países. De acordo com o Instituto Nacional de Estudos e Pesquisas Educacionais Anísio Teixeira – (INEP), enquanto o Brasil forma cerca de 40 mil engenheiros por ano, a Rússia, a Índia e a China formam 190 mil, 220 mil e 650 mil, respectivamente. </w:t>
      </w:r>
      <w:r w:rsidR="00EF0C07" w:rsidRPr="0056078E">
        <w:rPr>
          <w:rFonts w:ascii="Calibri" w:eastAsia="Calibri" w:hAnsi="Calibri" w:cs="Calibri"/>
          <w:color w:val="FF0000"/>
          <w:u w:color="000000"/>
          <w:bdr w:val="nil"/>
          <w:lang w:val="pt-PT" w:eastAsia="pt-BR"/>
        </w:rPr>
        <w:t xml:space="preserve">Em </w:t>
      </w:r>
      <w:r w:rsidR="00A97345">
        <w:rPr>
          <w:rFonts w:ascii="Calibri" w:eastAsia="Calibri" w:hAnsi="Calibri" w:cs="Calibri"/>
          <w:color w:val="FF0000"/>
          <w:u w:color="000000"/>
          <w:bdr w:val="nil"/>
          <w:lang w:val="pt-PT" w:eastAsia="pt-BR"/>
        </w:rPr>
        <w:t>t</w:t>
      </w:r>
      <w:r w:rsidR="00EF0C07" w:rsidRPr="0056078E">
        <w:rPr>
          <w:rFonts w:ascii="Calibri" w:eastAsia="Calibri" w:hAnsi="Calibri" w:cs="Calibri"/>
          <w:color w:val="FF0000"/>
          <w:u w:color="000000"/>
          <w:bdr w:val="nil"/>
          <w:lang w:val="pt-PT" w:eastAsia="pt-BR"/>
        </w:rPr>
        <w:t>ermos percentua</w:t>
      </w:r>
      <w:r w:rsidR="00A97345">
        <w:rPr>
          <w:rFonts w:ascii="Calibri" w:eastAsia="Calibri" w:hAnsi="Calibri" w:cs="Calibri"/>
          <w:color w:val="FF0000"/>
          <w:u w:color="000000"/>
          <w:bdr w:val="nil"/>
          <w:lang w:val="pt-PT" w:eastAsia="pt-BR"/>
        </w:rPr>
        <w:t>is</w:t>
      </w:r>
      <w:r w:rsidR="0056078E" w:rsidRPr="0056078E">
        <w:rPr>
          <w:rFonts w:ascii="Calibri" w:eastAsia="Calibri" w:hAnsi="Calibri" w:cs="Calibri"/>
          <w:color w:val="FF0000"/>
          <w:u w:color="000000"/>
          <w:bdr w:val="nil"/>
          <w:lang w:val="pt-PT" w:eastAsia="pt-BR"/>
        </w:rPr>
        <w:t xml:space="preserve"> (nº de formados/população), estamos no nível da Índia, mas não da Rússia e China</w:t>
      </w:r>
      <w:r w:rsidR="0056078E">
        <w:rPr>
          <w:rFonts w:ascii="Calibri" w:eastAsia="Calibri" w:hAnsi="Calibri" w:cs="Calibri"/>
          <w:color w:val="000000"/>
          <w:u w:color="000000"/>
          <w:bdr w:val="nil"/>
          <w:lang w:val="pt-PT" w:eastAsia="pt-BR"/>
        </w:rPr>
        <w:t>. N</w:t>
      </w:r>
      <w:r w:rsidRPr="009A1C3E">
        <w:rPr>
          <w:rFonts w:ascii="Calibri" w:eastAsia="Calibri" w:hAnsi="Calibri" w:cs="Calibri"/>
          <w:color w:val="000000"/>
          <w:u w:color="000000"/>
          <w:bdr w:val="nil"/>
          <w:lang w:val="pt-PT" w:eastAsia="pt-BR"/>
        </w:rPr>
        <w:t>ão nos parece um problema de ofertas no número de vagas, conforme pode ser evidenciado em (</w:t>
      </w:r>
      <w:r w:rsidR="009E63D6">
        <w:rPr>
          <w:rFonts w:ascii="Calibri" w:eastAsia="Calibri" w:hAnsi="Calibri" w:cs="Calibri"/>
          <w:color w:val="000000"/>
          <w:u w:color="000000"/>
          <w:bdr w:val="nil"/>
          <w:lang w:val="pt-PT" w:eastAsia="pt-BR"/>
        </w:rPr>
        <w:t>AUTOR</w:t>
      </w:r>
      <w:r w:rsidRPr="009A1C3E">
        <w:rPr>
          <w:rFonts w:ascii="Calibri" w:eastAsia="Calibri" w:hAnsi="Calibri" w:cs="Calibri"/>
          <w:color w:val="000000"/>
          <w:u w:color="000000"/>
          <w:bdr w:val="nil"/>
          <w:lang w:val="pt-PT" w:eastAsia="pt-BR"/>
        </w:rPr>
        <w:t xml:space="preserve">, </w:t>
      </w:r>
      <w:r w:rsidR="009E63D6">
        <w:rPr>
          <w:rFonts w:ascii="Calibri" w:eastAsia="Calibri" w:hAnsi="Calibri" w:cs="Calibri"/>
          <w:color w:val="000000"/>
          <w:u w:color="000000"/>
          <w:bdr w:val="nil"/>
          <w:lang w:val="pt-PT" w:eastAsia="pt-BR"/>
        </w:rPr>
        <w:t>ANO</w:t>
      </w:r>
      <w:r w:rsidRPr="009A1C3E">
        <w:rPr>
          <w:rFonts w:ascii="Calibri" w:eastAsia="Calibri" w:hAnsi="Calibri" w:cs="Calibri"/>
          <w:color w:val="000000"/>
          <w:u w:color="000000"/>
          <w:bdr w:val="nil"/>
          <w:lang w:val="pt-PT" w:eastAsia="pt-BR"/>
        </w:rPr>
        <w:t xml:space="preserve">), mas sim do alto número de desistências, abandonos e trancamentos. </w:t>
      </w:r>
    </w:p>
    <w:p w14:paraId="22F262E2" w14:textId="1237F1B6" w:rsidR="009A1C3E" w:rsidRPr="009A1C3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Neste sentido, as Instituições de Ensino Superior (IES) poderiam (e talvez deveriam) caracterizar o desempenho de seus alunos, em especial no Ciclo Básico, e criar mecanismos e/ou políticas institucionais que, se não solucionarem, ao menos minimizem os problemas de retenção, reprovação e evasão nos cursos de Engenharia. (</w:t>
      </w:r>
      <w:r w:rsidR="009E63D6" w:rsidRPr="009A1C3E">
        <w:rPr>
          <w:rFonts w:ascii="Calibri" w:eastAsia="Calibri" w:hAnsi="Calibri" w:cs="Calibri"/>
          <w:color w:val="000000"/>
          <w:u w:color="000000"/>
          <w:bdr w:val="nil"/>
          <w:lang w:val="pt-PT" w:eastAsia="pt-BR"/>
        </w:rPr>
        <w:t>OLIVEIRA</w:t>
      </w:r>
      <w:r w:rsidRPr="009A1C3E">
        <w:rPr>
          <w:rFonts w:ascii="Calibri" w:eastAsia="Calibri" w:hAnsi="Calibri" w:cs="Calibri"/>
          <w:color w:val="000000"/>
          <w:u w:color="000000"/>
          <w:bdr w:val="nil"/>
          <w:lang w:val="pt-PT" w:eastAsia="pt-BR"/>
        </w:rPr>
        <w:t xml:space="preserve"> et al, 2010)</w:t>
      </w:r>
    </w:p>
    <w:p w14:paraId="47C830BF" w14:textId="06F60700" w:rsidR="009A1C3E" w:rsidRPr="0056078E" w:rsidRDefault="009A1C3E" w:rsidP="009A1C3E">
      <w:pPr>
        <w:pBdr>
          <w:top w:val="nil"/>
          <w:left w:val="nil"/>
          <w:bottom w:val="nil"/>
          <w:right w:val="nil"/>
          <w:between w:val="nil"/>
          <w:bar w:val="nil"/>
        </w:pBdr>
        <w:tabs>
          <w:tab w:val="left" w:pos="709"/>
        </w:tabs>
        <w:spacing w:after="120"/>
        <w:ind w:left="2835" w:firstLine="397"/>
        <w:jc w:val="both"/>
        <w:outlineLvl w:val="0"/>
        <w:rPr>
          <w:rFonts w:ascii="Calibri" w:eastAsia="Calibri" w:hAnsi="Calibri" w:cs="Calibri"/>
          <w:color w:val="FF0000"/>
          <w:u w:color="000000"/>
          <w:bdr w:val="nil"/>
          <w:lang w:val="pt-PT" w:eastAsia="pt-BR"/>
        </w:rPr>
      </w:pPr>
      <w:r w:rsidRPr="0056078E">
        <w:rPr>
          <w:rFonts w:ascii="Calibri" w:eastAsia="Calibri" w:hAnsi="Calibri" w:cs="Calibri"/>
          <w:color w:val="FF0000"/>
          <w:u w:color="000000"/>
          <w:bdr w:val="nil"/>
          <w:lang w:val="pt-PT" w:eastAsia="pt-BR"/>
        </w:rPr>
        <w:t xml:space="preserve">Posto isso, o presente artigo tem como objetivo </w:t>
      </w:r>
      <w:r w:rsidR="0056078E" w:rsidRPr="0056078E">
        <w:rPr>
          <w:rFonts w:ascii="Calibri" w:eastAsia="Calibri" w:hAnsi="Calibri" w:cs="Calibri"/>
          <w:color w:val="FF0000"/>
          <w:u w:color="000000"/>
          <w:bdr w:val="nil"/>
          <w:lang w:val="pt-PT" w:eastAsia="pt-BR"/>
        </w:rPr>
        <w:t>estudar a evasão no curso superior de Engenharia a partir dos tra</w:t>
      </w:r>
      <w:r w:rsidRPr="0056078E">
        <w:rPr>
          <w:rFonts w:ascii="Calibri" w:eastAsia="Calibri" w:hAnsi="Calibri" w:cs="Calibri"/>
          <w:color w:val="FF0000"/>
          <w:u w:color="000000"/>
          <w:bdr w:val="nil"/>
          <w:lang w:val="pt-PT" w:eastAsia="pt-BR"/>
        </w:rPr>
        <w:t xml:space="preserve">balhos </w:t>
      </w:r>
      <w:r w:rsidR="0056078E" w:rsidRPr="0056078E">
        <w:rPr>
          <w:rFonts w:ascii="Calibri" w:eastAsia="Calibri" w:hAnsi="Calibri" w:cs="Calibri"/>
          <w:color w:val="FF0000"/>
          <w:u w:color="000000"/>
          <w:bdr w:val="nil"/>
          <w:lang w:val="pt-PT" w:eastAsia="pt-BR"/>
        </w:rPr>
        <w:t>apresentados n</w:t>
      </w:r>
      <w:r w:rsidRPr="0056078E">
        <w:rPr>
          <w:rFonts w:ascii="Calibri" w:eastAsia="Calibri" w:hAnsi="Calibri" w:cs="Calibri"/>
          <w:color w:val="FF0000"/>
          <w:u w:color="000000"/>
          <w:bdr w:val="nil"/>
          <w:lang w:val="pt-PT" w:eastAsia="pt-BR"/>
        </w:rPr>
        <w:t>o Congresso Brasileiro de Educação em Engenharia (COBENGE) no período compreendido entre 2000 e 2014</w:t>
      </w:r>
      <w:r w:rsidR="0056078E" w:rsidRPr="0056078E">
        <w:rPr>
          <w:rFonts w:ascii="Calibri" w:eastAsia="Calibri" w:hAnsi="Calibri" w:cs="Calibri"/>
          <w:color w:val="FF0000"/>
          <w:u w:color="000000"/>
          <w:bdr w:val="nil"/>
          <w:lang w:val="pt-PT" w:eastAsia="pt-BR"/>
        </w:rPr>
        <w:t xml:space="preserve">. </w:t>
      </w:r>
    </w:p>
    <w:p w14:paraId="6602F583" w14:textId="77777777" w:rsidR="009A1C3E" w:rsidRPr="009A1C3E" w:rsidRDefault="009A1C3E" w:rsidP="009A1C3E">
      <w:pPr>
        <w:pBdr>
          <w:top w:val="nil"/>
          <w:left w:val="nil"/>
          <w:bottom w:val="nil"/>
          <w:right w:val="nil"/>
          <w:between w:val="nil"/>
          <w:bar w:val="nil"/>
        </w:pBdr>
        <w:tabs>
          <w:tab w:val="left" w:pos="709"/>
        </w:tabs>
        <w:spacing w:before="480" w:after="240"/>
        <w:ind w:left="2835"/>
        <w:jc w:val="both"/>
        <w:outlineLvl w:val="0"/>
        <w:rPr>
          <w:rFonts w:ascii="Calibri" w:eastAsia="Calibri" w:hAnsi="Calibri" w:cs="Calibri"/>
          <w:color w:val="000000"/>
          <w:u w:color="000000"/>
          <w:bdr w:val="nil"/>
          <w:lang w:val="pt-PT" w:eastAsia="pt-BR"/>
        </w:rPr>
      </w:pPr>
      <w:r w:rsidRPr="009A1C3E">
        <w:rPr>
          <w:rFonts w:ascii="Calibri" w:eastAsia="Calibri" w:hAnsi="Calibri" w:cs="Calibri"/>
          <w:b/>
          <w:bCs/>
          <w:color w:val="000000"/>
          <w:u w:color="000000"/>
          <w:bdr w:val="nil"/>
          <w:lang w:val="pt-PT" w:eastAsia="pt-BR"/>
        </w:rPr>
        <w:t>A EVASÃO NO CURSO SUPERIOR DE ENGENHARIA</w:t>
      </w:r>
      <w:r w:rsidRPr="009A1C3E">
        <w:rPr>
          <w:rFonts w:ascii="Calibri" w:eastAsia="Calibri" w:hAnsi="Calibri" w:cs="Calibri"/>
          <w:color w:val="000000"/>
          <w:u w:color="000000"/>
          <w:bdr w:val="nil"/>
          <w:lang w:val="pt-PT" w:eastAsia="pt-BR"/>
        </w:rPr>
        <w:t xml:space="preserve"> </w:t>
      </w:r>
    </w:p>
    <w:p w14:paraId="1A919289" w14:textId="77777777" w:rsidR="009A1C3E" w:rsidRPr="009A1C3E" w:rsidRDefault="009A1C3E" w:rsidP="009A1C3E">
      <w:pPr>
        <w:pBdr>
          <w:top w:val="nil"/>
          <w:left w:val="nil"/>
          <w:bottom w:val="nil"/>
          <w:right w:val="nil"/>
          <w:between w:val="nil"/>
          <w:bar w:val="nil"/>
        </w:pBdr>
        <w:tabs>
          <w:tab w:val="left" w:pos="709"/>
        </w:tabs>
        <w:spacing w:before="480" w:after="240"/>
        <w:ind w:left="2835"/>
        <w:jc w:val="both"/>
        <w:outlineLvl w:val="1"/>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Definição e tipos de evasão</w:t>
      </w:r>
    </w:p>
    <w:p w14:paraId="5DAF537B"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7938"/>
          <w:tab w:val="left" w:pos="8565"/>
        </w:tabs>
        <w:spacing w:after="120"/>
        <w:ind w:left="2835" w:firstLine="397"/>
        <w:jc w:val="both"/>
        <w:rPr>
          <w:rFonts w:ascii="Calibri" w:eastAsia="Calibri" w:hAnsi="Calibri" w:cs="Calibri"/>
          <w:color w:val="000000"/>
          <w:u w:color="000000"/>
          <w:bdr w:val="nil"/>
          <w:shd w:val="clear" w:color="auto" w:fill="FFFFFF"/>
          <w:lang w:val="pt-PT" w:eastAsia="pt-BR"/>
        </w:rPr>
      </w:pPr>
      <w:r w:rsidRPr="009A1C3E">
        <w:rPr>
          <w:rFonts w:ascii="Calibri" w:eastAsia="Calibri" w:hAnsi="Calibri" w:cs="Calibri"/>
          <w:color w:val="000000"/>
          <w:u w:color="000000"/>
          <w:bdr w:val="nil"/>
          <w:shd w:val="clear" w:color="auto" w:fill="FFFFFF"/>
          <w:lang w:val="pt-PT" w:eastAsia="pt-BR"/>
        </w:rPr>
        <w:t xml:space="preserve">Segundo o dicionário Michaelis (2015), evasão (do latim </w:t>
      </w:r>
      <w:r w:rsidRPr="009A1C3E">
        <w:rPr>
          <w:rFonts w:ascii="Calibri" w:eastAsia="Calibri" w:hAnsi="Calibri" w:cs="Calibri"/>
          <w:i/>
          <w:iCs/>
          <w:color w:val="000000"/>
          <w:u w:color="000000"/>
          <w:bdr w:val="nil"/>
          <w:shd w:val="clear" w:color="auto" w:fill="FFFFFF"/>
          <w:lang w:val="pt-PT" w:eastAsia="pt-BR"/>
        </w:rPr>
        <w:t>evasione</w:t>
      </w:r>
      <w:r w:rsidRPr="009A1C3E">
        <w:rPr>
          <w:rFonts w:ascii="Calibri" w:eastAsia="Calibri" w:hAnsi="Calibri" w:cs="Calibri"/>
          <w:color w:val="000000"/>
          <w:u w:color="000000"/>
          <w:bdr w:val="nil"/>
          <w:shd w:val="clear" w:color="auto" w:fill="FFFFFF"/>
          <w:lang w:val="pt-PT" w:eastAsia="pt-BR"/>
        </w:rPr>
        <w:t>) é ato de evadir-se; fuga.</w:t>
      </w:r>
    </w:p>
    <w:p w14:paraId="2A227AFD"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shd w:val="clear" w:color="auto" w:fill="FFFFFF"/>
          <w:lang w:val="pt-PT" w:eastAsia="pt-BR"/>
        </w:rPr>
      </w:pPr>
      <w:r w:rsidRPr="009A1C3E">
        <w:rPr>
          <w:rFonts w:ascii="Calibri" w:eastAsia="Calibri" w:hAnsi="Calibri" w:cs="Calibri"/>
          <w:color w:val="000000"/>
          <w:u w:color="000000"/>
          <w:bdr w:val="nil"/>
          <w:shd w:val="clear" w:color="auto" w:fill="FFFFFF"/>
          <w:lang w:val="pt-PT" w:eastAsia="pt-BR"/>
        </w:rPr>
        <w:lastRenderedPageBreak/>
        <w:t xml:space="preserve">Para o MEC (BRASIL, 1996, p. 12): </w:t>
      </w:r>
    </w:p>
    <w:p w14:paraId="07D50592" w14:textId="77777777" w:rsidR="009A1C3E" w:rsidRPr="009A1C3E" w:rsidRDefault="009A1C3E" w:rsidP="009A1C3E">
      <w:pPr>
        <w:pBdr>
          <w:top w:val="nil"/>
          <w:left w:val="nil"/>
          <w:bottom w:val="nil"/>
          <w:right w:val="nil"/>
          <w:between w:val="nil"/>
          <w:bar w:val="nil"/>
        </w:pBdr>
        <w:tabs>
          <w:tab w:val="left" w:pos="709"/>
          <w:tab w:val="left" w:pos="1701"/>
        </w:tabs>
        <w:spacing w:before="240" w:after="240"/>
        <w:ind w:left="4536"/>
        <w:jc w:val="both"/>
        <w:rPr>
          <w:rFonts w:ascii="Calibri" w:eastAsia="Calibri" w:hAnsi="Calibri" w:cs="Calibri"/>
          <w:color w:val="000000"/>
          <w:sz w:val="18"/>
          <w:szCs w:val="18"/>
          <w:u w:color="000000"/>
          <w:bdr w:val="nil"/>
          <w:lang w:val="pt-PT" w:eastAsia="pt-BR"/>
        </w:rPr>
      </w:pPr>
      <w:r w:rsidRPr="009A1C3E">
        <w:rPr>
          <w:rFonts w:ascii="Calibri" w:eastAsia="Calibri" w:hAnsi="Calibri" w:cs="Calibri"/>
          <w:color w:val="000000"/>
          <w:sz w:val="18"/>
          <w:szCs w:val="18"/>
          <w:u w:color="000000"/>
          <w:bdr w:val="nil"/>
          <w:lang w:val="pt-PT" w:eastAsia="pt-BR"/>
        </w:rPr>
        <w:t>O abandono de cursos antes de sua conclusão, resultante de uma decisão do aluno com base nas suas próprias motivações, dificuldades financeiras e decisões de ordem pessoal ou de uma combinação de fatores escolares: estruturas curriculares e métodos pedagógicos que falham em despertar o interesse.</w:t>
      </w:r>
    </w:p>
    <w:p w14:paraId="1243545C"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s>
        <w:spacing w:after="120"/>
        <w:ind w:left="2835" w:firstLine="397"/>
        <w:jc w:val="both"/>
        <w:rPr>
          <w:rFonts w:ascii="Calibri" w:eastAsia="Calibri" w:hAnsi="Calibri" w:cs="Calibri"/>
          <w:color w:val="000000"/>
          <w:u w:color="000000"/>
          <w:bdr w:val="nil"/>
          <w:shd w:val="clear" w:color="auto" w:fill="FFFFFF"/>
          <w:lang w:val="pt-PT" w:eastAsia="pt-BR"/>
        </w:rPr>
      </w:pPr>
      <w:r w:rsidRPr="009A1C3E">
        <w:rPr>
          <w:rFonts w:ascii="Calibri" w:eastAsia="Calibri" w:hAnsi="Calibri" w:cs="Calibri"/>
          <w:color w:val="000000"/>
          <w:u w:color="000000"/>
          <w:bdr w:val="nil"/>
          <w:shd w:val="clear" w:color="auto" w:fill="FFFFFF"/>
          <w:lang w:val="pt-PT" w:eastAsia="pt-BR"/>
        </w:rPr>
        <w:t xml:space="preserve">Alguns autores, segundo a análise de Almeida (2007), afirmam existir diferentes, ou melhor, variações a respeito da definição e da amplitude do conceito de evasão. Por exemplo, Utiyama e Borba (2003 apud Almeida, 2007) definem-na como a saída do aluno de seu curso de origem sem concluí-lo. Para Almeida (2007), essa definição é ampla, pois não estabelece nenhum critério de tempo no curso para a saída do aluno. </w:t>
      </w:r>
    </w:p>
    <w:p w14:paraId="3C08083E" w14:textId="30EA12CD"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shd w:val="clear" w:color="auto" w:fill="FFFFFF"/>
          <w:lang w:val="pt-PT" w:eastAsia="pt-BR"/>
        </w:rPr>
        <w:t xml:space="preserve">Para Maia e Meireles (2005 apud </w:t>
      </w:r>
      <w:r w:rsidR="009E63D6" w:rsidRPr="009A1C3E">
        <w:rPr>
          <w:rFonts w:ascii="Calibri" w:eastAsia="Calibri" w:hAnsi="Calibri" w:cs="Calibri"/>
          <w:color w:val="000000"/>
          <w:u w:color="000000"/>
          <w:bdr w:val="nil"/>
          <w:shd w:val="clear" w:color="auto" w:fill="FFFFFF"/>
          <w:lang w:val="pt-PT" w:eastAsia="pt-BR"/>
        </w:rPr>
        <w:t>ALMEIDA</w:t>
      </w:r>
      <w:r w:rsidRPr="009A1C3E">
        <w:rPr>
          <w:rFonts w:ascii="Calibri" w:eastAsia="Calibri" w:hAnsi="Calibri" w:cs="Calibri"/>
          <w:color w:val="000000"/>
          <w:u w:color="000000"/>
          <w:bdr w:val="nil"/>
          <w:shd w:val="clear" w:color="auto" w:fill="FFFFFF"/>
          <w:lang w:val="pt-PT" w:eastAsia="pt-BR"/>
        </w:rPr>
        <w:t>, 2007), a e</w:t>
      </w:r>
      <w:r w:rsidRPr="009A1C3E">
        <w:rPr>
          <w:rFonts w:ascii="Calibri" w:eastAsia="Calibri" w:hAnsi="Calibri" w:cs="Calibri"/>
          <w:color w:val="000000"/>
          <w:u w:color="000000"/>
          <w:bdr w:val="nil"/>
          <w:lang w:val="pt-PT" w:eastAsia="pt-BR"/>
        </w:rPr>
        <w:t xml:space="preserve">vasão ocorre quando os alunos que não completam cursos ou programas de estudo, podendo ser considerada quando os alunos se matriculam e desistem antes mesmo de iniciar o curso. De acordo com </w:t>
      </w:r>
      <w:r w:rsidRPr="009A1C3E">
        <w:rPr>
          <w:rFonts w:ascii="Calibri" w:eastAsia="Calibri" w:hAnsi="Calibri" w:cs="Calibri"/>
          <w:color w:val="000000"/>
          <w:u w:color="000000"/>
          <w:bdr w:val="nil"/>
          <w:shd w:val="clear" w:color="auto" w:fill="FFFFFF"/>
          <w:lang w:val="pt-PT" w:eastAsia="pt-BR"/>
        </w:rPr>
        <w:t>Almeida</w:t>
      </w:r>
      <w:r w:rsidRPr="009A1C3E">
        <w:rPr>
          <w:rFonts w:ascii="Calibri" w:eastAsia="Calibri" w:hAnsi="Calibri" w:cs="Calibri"/>
          <w:color w:val="000000"/>
          <w:u w:color="000000"/>
          <w:bdr w:val="nil"/>
          <w:lang w:val="pt-PT" w:eastAsia="pt-BR"/>
        </w:rPr>
        <w:t xml:space="preserve"> (2007), essa definição é específica, pois mesmo aqueles alunos que não começaram o curso também devem ser considerados no cálculo das taxas de evasão. </w:t>
      </w:r>
    </w:p>
    <w:p w14:paraId="1B30FC8E" w14:textId="77DE2176"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Já Abbad, Carvalho e Zerbini (2005 apud </w:t>
      </w:r>
      <w:r w:rsidR="009E63D6" w:rsidRPr="009A1C3E">
        <w:rPr>
          <w:rFonts w:ascii="Calibri" w:eastAsia="Calibri" w:hAnsi="Calibri" w:cs="Calibri"/>
          <w:color w:val="000000"/>
          <w:u w:color="000000"/>
          <w:bdr w:val="nil"/>
          <w:shd w:val="clear" w:color="auto" w:fill="FFFFFF"/>
          <w:lang w:val="pt-PT" w:eastAsia="pt-BR"/>
        </w:rPr>
        <w:t>ALMEIDA</w:t>
      </w:r>
      <w:r w:rsidRPr="009A1C3E">
        <w:rPr>
          <w:rFonts w:ascii="Calibri" w:eastAsia="Calibri" w:hAnsi="Calibri" w:cs="Calibri"/>
          <w:color w:val="000000"/>
          <w:u w:color="000000"/>
          <w:bdr w:val="nil"/>
          <w:lang w:val="pt-PT" w:eastAsia="pt-BR"/>
        </w:rPr>
        <w:t xml:space="preserve">, 2007) referem-se à evasão como desistência definitiva do aluno em qualquer etapa do curso. Almeida (2007) considera que os autores não deixam claro se a evasão se aplicaria apenas aos alunos que chegaram a iniciar o curso ou abrangeria também aqueles que se matricularam e nunca iniciaram. </w:t>
      </w:r>
    </w:p>
    <w:p w14:paraId="415598BF" w14:textId="77777777" w:rsidR="009A1C3E" w:rsidRPr="009A1C3E" w:rsidRDefault="009A1C3E" w:rsidP="009A1C3E">
      <w:pPr>
        <w:widowControl w:val="0"/>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120"/>
        <w:ind w:left="2835" w:firstLine="397"/>
        <w:jc w:val="both"/>
        <w:rPr>
          <w:rFonts w:ascii="Calibri" w:eastAsia="Calibri" w:hAnsi="Calibri" w:cs="Calibri"/>
          <w:b/>
          <w:bCs/>
          <w:color w:val="000000"/>
          <w:u w:color="000000"/>
          <w:bdr w:val="nil"/>
          <w:lang w:val="pt-PT" w:eastAsia="pt-BR"/>
        </w:rPr>
      </w:pPr>
      <w:r w:rsidRPr="009A1C3E">
        <w:rPr>
          <w:rFonts w:ascii="Calibri" w:eastAsia="Calibri" w:hAnsi="Calibri" w:cs="Calibri"/>
          <w:color w:val="000000"/>
          <w:u w:color="000000"/>
          <w:bdr w:val="nil"/>
          <w:lang w:val="pt-PT" w:eastAsia="pt-BR"/>
        </w:rPr>
        <w:t xml:space="preserve">Cabe destacar que, neste trabalho, adotaremos a definição de evasão dada pelo MEC, descrita anteriormente. </w:t>
      </w:r>
    </w:p>
    <w:p w14:paraId="0BD1A3F8"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7938"/>
          <w:tab w:val="left" w:pos="8565"/>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Sobre os tipos, Almeida (2007) considera que a evasão está associada ao fracasso escolar a partir de duas diferentes abordagens: a primeira, que busca explicações a partir dos fatores externos à escola; e a segunda, a partir de fatores internos. </w:t>
      </w:r>
    </w:p>
    <w:p w14:paraId="048C06A3"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7938"/>
          <w:tab w:val="left" w:pos="8565"/>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Relacionando a questão do fracasso escolar aos fatores externos, apontam-se, entre outros, a necessidade de trabalho, as desigualdades sociais, o compromisso do estudante e o envolvimento da família. Dentre os fatores internos, são apontados a própria escola, a linguagem, o professor e o material didático. </w:t>
      </w:r>
    </w:p>
    <w:p w14:paraId="0AE74EC5"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Segundo Lobo (2012), no Ensino Superior existem diferentes tipos de evasão tais como: do curso, da IES e do sistema, todas derivadas de diferentes cálculos da evasão dos alunos. Existem também regras definidas para o cálculo da evasão, tal como o acompanhamento individual do aluno, considerado o mais difícil de ser realizado. </w:t>
      </w:r>
    </w:p>
    <w:p w14:paraId="66C58DD7"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Ainda segundo Lobo (2012), apenas os grandes números de evasão são estudados, sendo, na maioria das vezes, considerado a partir da soma do conjunto dos diferentes cursos de todas as IES que compõem o Sistema de Ensino Superior.</w:t>
      </w:r>
    </w:p>
    <w:p w14:paraId="43DF6CBD" w14:textId="77777777" w:rsidR="009A1C3E" w:rsidRPr="009A1C3E" w:rsidRDefault="009A1C3E" w:rsidP="009A1C3E">
      <w:pPr>
        <w:keepNext/>
        <w:keepLines/>
        <w:pBdr>
          <w:top w:val="nil"/>
          <w:left w:val="nil"/>
          <w:bottom w:val="nil"/>
          <w:right w:val="nil"/>
          <w:between w:val="nil"/>
          <w:bar w:val="nil"/>
        </w:pBdr>
        <w:tabs>
          <w:tab w:val="left" w:pos="709"/>
        </w:tabs>
        <w:spacing w:before="480" w:after="24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lastRenderedPageBreak/>
        <w:t>Progressão da evasão no Ensino Superior</w:t>
      </w:r>
    </w:p>
    <w:p w14:paraId="6D5B5D42" w14:textId="77777777" w:rsidR="009A1C3E" w:rsidRPr="009A1C3E" w:rsidRDefault="009A1C3E" w:rsidP="009A1C3E">
      <w:pPr>
        <w:keepNext/>
        <w:keepLines/>
        <w:pBdr>
          <w:top w:val="nil"/>
          <w:left w:val="nil"/>
          <w:bottom w:val="nil"/>
          <w:right w:val="nil"/>
          <w:between w:val="nil"/>
          <w:bar w:val="nil"/>
        </w:pBdr>
        <w:tabs>
          <w:tab w:val="left" w:pos="709"/>
        </w:tabs>
        <w:spacing w:after="120"/>
        <w:ind w:left="2835" w:firstLine="397"/>
        <w:jc w:val="both"/>
        <w:outlineLvl w:val="2"/>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Patto (1990) discute que a evasão está contextualizada na temática do fracasso escolar a partir da era das revoluções no século XIX. Após a obrigatoriedade do ingresso da população na escola, em 1880, na França, o fenômeno do fracasso escolar e da evasão foi provocado pela repetência, em especial dos mais pobres, com problemas de aprendizagem.</w:t>
      </w:r>
    </w:p>
    <w:p w14:paraId="65159B92"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No Brasil, a partir do final da década de 1970, ocorre um fato muito parecido com o da França devido ao acesso da camada mais pobre, em grandes proporções, às instituições de ensino, gerando o fracasso escolar, consequência dos altos índices de reprovação. Menestrina e Goudard (2003, p. 2) apontam que: </w:t>
      </w:r>
    </w:p>
    <w:p w14:paraId="08FE0DC7" w14:textId="77777777" w:rsidR="009A1C3E" w:rsidRPr="009A1C3E" w:rsidRDefault="009A1C3E" w:rsidP="009A1C3E">
      <w:pPr>
        <w:pBdr>
          <w:top w:val="nil"/>
          <w:left w:val="nil"/>
          <w:bottom w:val="nil"/>
          <w:right w:val="nil"/>
          <w:between w:val="nil"/>
          <w:bar w:val="nil"/>
        </w:pBdr>
        <w:tabs>
          <w:tab w:val="left" w:pos="709"/>
        </w:tabs>
        <w:spacing w:before="240" w:after="240"/>
        <w:ind w:left="4536"/>
        <w:jc w:val="both"/>
        <w:rPr>
          <w:rFonts w:ascii="Calibri" w:eastAsia="Calibri" w:hAnsi="Calibri" w:cs="Calibri"/>
          <w:color w:val="000000"/>
          <w:sz w:val="18"/>
          <w:szCs w:val="18"/>
          <w:u w:color="000000"/>
          <w:bdr w:val="nil"/>
          <w:lang w:val="pt-PT" w:eastAsia="pt-BR"/>
        </w:rPr>
      </w:pPr>
      <w:r w:rsidRPr="009A1C3E">
        <w:rPr>
          <w:rFonts w:ascii="Calibri" w:eastAsia="Calibri" w:hAnsi="Calibri" w:cs="Calibri"/>
          <w:color w:val="000000"/>
          <w:sz w:val="18"/>
          <w:szCs w:val="18"/>
          <w:u w:color="000000"/>
          <w:bdr w:val="nil"/>
          <w:lang w:val="pt-PT" w:eastAsia="pt-BR"/>
        </w:rPr>
        <w:t xml:space="preserve">Pesquisas realizadas por algumas universidades com alunos repetentes mostraram que os maiores motivos observados em casos de reprovação, são: baixa autoestima, aparente extrema autoconfiança, visão errônea ou pouco realista da profissão ou curso escolhido, instabilidade emocional, preferência pela rapidez em detrimento da precisão, baixa capacidade de concentração, dependência excessiva da orientação e aprovação dos professores, resistência ao aprendizado (medos), dificuldade de administrar o tempo, falta de motivação. </w:t>
      </w:r>
    </w:p>
    <w:p w14:paraId="156347B0" w14:textId="77777777" w:rsidR="009A1C3E" w:rsidRPr="009A1C3E" w:rsidRDefault="009A1C3E" w:rsidP="009A1C3E">
      <w:p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Bertelli e Duarte (2013) afirmam que a evasão no Ensino Superior é atribuída ao despreparo dos candidatos que acessam as universidades e das comunidades em que estão inseridos, o que dificulta responderem às exigências de especialização e o desenvolvimento de novas habilidades no mercado de trabalho.</w:t>
      </w:r>
    </w:p>
    <w:p w14:paraId="1CC1EDDA" w14:textId="77777777" w:rsidR="009A1C3E" w:rsidRPr="009A1C3E" w:rsidRDefault="009A1C3E" w:rsidP="009A1C3E">
      <w:pPr>
        <w:pBdr>
          <w:top w:val="nil"/>
          <w:left w:val="nil"/>
          <w:bottom w:val="nil"/>
          <w:right w:val="nil"/>
          <w:between w:val="nil"/>
          <w:bar w:val="nil"/>
        </w:pBdr>
        <w:tabs>
          <w:tab w:val="left" w:pos="709"/>
        </w:tabs>
        <w:spacing w:before="480" w:after="240"/>
        <w:ind w:left="2835"/>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EVASÃO NO ENSINO SUPERIOR DOS CURSOS DE ENGENHARIA NO BRASIL</w:t>
      </w:r>
    </w:p>
    <w:p w14:paraId="56CE7F8A" w14:textId="77777777" w:rsidR="009A1C3E" w:rsidRPr="009A1C3E" w:rsidRDefault="009A1C3E" w:rsidP="000D52FB">
      <w:pPr>
        <w:pBdr>
          <w:top w:val="nil"/>
          <w:left w:val="nil"/>
          <w:bottom w:val="nil"/>
          <w:right w:val="nil"/>
          <w:between w:val="nil"/>
          <w:bar w:val="nil"/>
        </w:pBdr>
        <w:tabs>
          <w:tab w:val="left" w:pos="709"/>
        </w:tabs>
        <w:spacing w:before="480" w:after="240"/>
        <w:ind w:left="2835"/>
        <w:jc w:val="both"/>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Causas da evasão nos cursos de Engenharia no Brasil</w:t>
      </w:r>
    </w:p>
    <w:p w14:paraId="4AFFA594"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As causas da evasão podem ser conhecidas a partir de informações gerais, ou serem mais detalhadas quando coletadas pelas unidades das IES. Se há interesse em trabalhar a redução desse problema pelas partes envolvidas, a equipe pedagógica, somada aos setores de atendimento ao aluno e administrativo, pode fornecer uma valorosa contribuição. Lobo (2012, p. 7) explica que:</w:t>
      </w:r>
    </w:p>
    <w:p w14:paraId="4C7FED71" w14:textId="77777777" w:rsidR="009A1C3E" w:rsidRPr="009A1C3E" w:rsidRDefault="009A1C3E" w:rsidP="009A1C3E">
      <w:pPr>
        <w:pBdr>
          <w:top w:val="nil"/>
          <w:left w:val="nil"/>
          <w:bottom w:val="nil"/>
          <w:right w:val="nil"/>
          <w:between w:val="nil"/>
          <w:bar w:val="nil"/>
        </w:pBdr>
        <w:tabs>
          <w:tab w:val="left" w:pos="709"/>
        </w:tabs>
        <w:spacing w:before="240" w:after="240"/>
        <w:ind w:left="4536"/>
        <w:jc w:val="both"/>
        <w:rPr>
          <w:rFonts w:ascii="Calibri" w:eastAsia="Calibri" w:hAnsi="Calibri" w:cs="Calibri"/>
          <w:color w:val="000000"/>
          <w:sz w:val="18"/>
          <w:szCs w:val="18"/>
          <w:u w:color="000000"/>
          <w:bdr w:val="nil"/>
          <w:lang w:val="pt-PT" w:eastAsia="pt-BR"/>
        </w:rPr>
      </w:pPr>
      <w:r w:rsidRPr="009A1C3E">
        <w:rPr>
          <w:rFonts w:ascii="Calibri" w:eastAsia="Calibri" w:hAnsi="Calibri" w:cs="Calibri"/>
          <w:color w:val="000000"/>
          <w:sz w:val="18"/>
          <w:szCs w:val="18"/>
          <w:u w:color="000000"/>
          <w:bdr w:val="nil"/>
          <w:lang w:val="pt-PT" w:eastAsia="pt-BR"/>
        </w:rPr>
        <w:t xml:space="preserve">Normalmente, o cálculo da evasão usa regras definidas para serem seguidas pelos diferentes países. Como nem sempre é possível acompanhar o que ocorre com cada aluno, individualmente, o que se chama de acompanhamento da coorte, apenas os grandes números são estudados, na maioria das vezes a partir da soma da evasão do conjunto dos diferentes cursos de todas as IES que compõem o Sistema de Ensino Superior. </w:t>
      </w:r>
    </w:p>
    <w:p w14:paraId="62C4D740" w14:textId="107F5D80"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As causas associadas à evasão</w:t>
      </w:r>
      <w:r w:rsidR="00651E3E">
        <w:rPr>
          <w:rFonts w:ascii="Calibri" w:eastAsia="Calibri" w:hAnsi="Calibri" w:cs="Calibri"/>
          <w:color w:val="FF0000"/>
          <w:u w:color="000000"/>
          <w:bdr w:val="nil"/>
          <w:lang w:val="pt-PT" w:eastAsia="pt-BR"/>
        </w:rPr>
        <w:t>, de acordo com Lobo (2012)</w:t>
      </w:r>
      <w:r w:rsidRPr="009A1C3E">
        <w:rPr>
          <w:rFonts w:ascii="Calibri" w:eastAsia="Calibri" w:hAnsi="Calibri" w:cs="Calibri"/>
          <w:color w:val="000000"/>
          <w:u w:color="000000"/>
          <w:bdr w:val="nil"/>
          <w:lang w:val="pt-PT" w:eastAsia="pt-BR"/>
        </w:rPr>
        <w:t xml:space="preserve"> são de ordens: </w:t>
      </w:r>
      <w:r w:rsidRPr="009A1C3E">
        <w:rPr>
          <w:rFonts w:ascii="Calibri" w:eastAsia="Calibri" w:hAnsi="Calibri" w:cs="Calibri"/>
          <w:b/>
          <w:bCs/>
          <w:color w:val="000000"/>
          <w:u w:color="000000"/>
          <w:bdr w:val="nil"/>
          <w:lang w:val="pt-PT" w:eastAsia="pt-BR"/>
        </w:rPr>
        <w:t>financeiras</w:t>
      </w:r>
      <w:r w:rsidRPr="009A1C3E">
        <w:rPr>
          <w:rFonts w:ascii="Calibri" w:eastAsia="Calibri" w:hAnsi="Calibri" w:cs="Calibri"/>
          <w:color w:val="000000"/>
          <w:u w:color="000000"/>
          <w:bdr w:val="nil"/>
          <w:lang w:val="pt-PT" w:eastAsia="pt-BR"/>
        </w:rPr>
        <w:t xml:space="preserve"> – associadas ao desemprego, ao planejamento familiar ou à perda de bolsa de estudos; </w:t>
      </w:r>
      <w:r w:rsidRPr="009A1C3E">
        <w:rPr>
          <w:rFonts w:ascii="Calibri" w:eastAsia="Calibri" w:hAnsi="Calibri" w:cs="Calibri"/>
          <w:b/>
          <w:bCs/>
          <w:color w:val="000000"/>
          <w:u w:color="000000"/>
          <w:bdr w:val="nil"/>
          <w:lang w:val="pt-PT" w:eastAsia="pt-BR"/>
        </w:rPr>
        <w:t>profissionais</w:t>
      </w:r>
      <w:r w:rsidRPr="009A1C3E">
        <w:rPr>
          <w:rFonts w:ascii="Calibri" w:eastAsia="Calibri" w:hAnsi="Calibri" w:cs="Calibri"/>
          <w:color w:val="000000"/>
          <w:u w:color="000000"/>
          <w:bdr w:val="nil"/>
          <w:lang w:val="pt-PT" w:eastAsia="pt-BR"/>
        </w:rPr>
        <w:t xml:space="preserve"> – associadas à questão de horário, à dificuldade de conciliação devido ao acúmulo tarefas e também por falta de um posto fixo (funcionários que estão sempre viajando pela empresa, por exemplo); </w:t>
      </w:r>
      <w:r w:rsidRPr="009A1C3E">
        <w:rPr>
          <w:rFonts w:ascii="Calibri" w:eastAsia="Calibri" w:hAnsi="Calibri" w:cs="Calibri"/>
          <w:b/>
          <w:bCs/>
          <w:color w:val="000000"/>
          <w:u w:color="000000"/>
          <w:bdr w:val="nil"/>
          <w:lang w:val="pt-PT" w:eastAsia="pt-BR"/>
        </w:rPr>
        <w:t>pessoais</w:t>
      </w:r>
      <w:r w:rsidRPr="009A1C3E">
        <w:rPr>
          <w:rFonts w:ascii="Calibri" w:eastAsia="Calibri" w:hAnsi="Calibri" w:cs="Calibri"/>
          <w:color w:val="000000"/>
          <w:u w:color="000000"/>
          <w:bdr w:val="nil"/>
          <w:lang w:val="pt-PT" w:eastAsia="pt-BR"/>
        </w:rPr>
        <w:t xml:space="preserve"> – associadas à saúde ou gestação, à mudança de residência e mesmo por alteração de prioridade; </w:t>
      </w:r>
      <w:r w:rsidRPr="009A1C3E">
        <w:rPr>
          <w:rFonts w:ascii="Calibri" w:eastAsia="Calibri" w:hAnsi="Calibri" w:cs="Calibri"/>
          <w:b/>
          <w:bCs/>
          <w:color w:val="000000"/>
          <w:u w:color="000000"/>
          <w:bdr w:val="nil"/>
          <w:lang w:val="pt-PT" w:eastAsia="pt-BR"/>
        </w:rPr>
        <w:t>acadêmico-administrativas</w:t>
      </w:r>
      <w:r w:rsidRPr="009A1C3E">
        <w:rPr>
          <w:rFonts w:ascii="Calibri" w:eastAsia="Calibri" w:hAnsi="Calibri" w:cs="Calibri"/>
          <w:color w:val="000000"/>
          <w:u w:color="000000"/>
          <w:bdr w:val="nil"/>
          <w:lang w:val="pt-PT" w:eastAsia="pt-BR"/>
        </w:rPr>
        <w:t xml:space="preserve"> – associadas à insatisfação com setores de atendimento, com a infraestrutura da instituição e a falta de formação ou cancelamento da turma; e </w:t>
      </w:r>
      <w:r w:rsidRPr="009A1C3E">
        <w:rPr>
          <w:rFonts w:ascii="Calibri" w:eastAsia="Calibri" w:hAnsi="Calibri" w:cs="Calibri"/>
          <w:b/>
          <w:bCs/>
          <w:color w:val="000000"/>
          <w:u w:color="000000"/>
          <w:bdr w:val="nil"/>
          <w:lang w:val="pt-PT" w:eastAsia="pt-BR"/>
        </w:rPr>
        <w:t>pedagógicas</w:t>
      </w:r>
      <w:r w:rsidRPr="009A1C3E">
        <w:rPr>
          <w:rFonts w:ascii="Calibri" w:eastAsia="Calibri" w:hAnsi="Calibri" w:cs="Calibri"/>
          <w:color w:val="000000"/>
          <w:u w:color="000000"/>
          <w:bdr w:val="nil"/>
          <w:lang w:val="pt-PT" w:eastAsia="pt-BR"/>
        </w:rPr>
        <w:t xml:space="preserve"> – associadas à defasagem de estudos, à </w:t>
      </w:r>
      <w:r w:rsidRPr="009A1C3E">
        <w:rPr>
          <w:rFonts w:ascii="Calibri" w:eastAsia="Calibri" w:hAnsi="Calibri" w:cs="Calibri"/>
          <w:color w:val="000000"/>
          <w:u w:color="000000"/>
          <w:bdr w:val="nil"/>
          <w:lang w:val="pt-PT" w:eastAsia="pt-BR"/>
        </w:rPr>
        <w:lastRenderedPageBreak/>
        <w:t>mudança de curso ou instituição, à insatisfação com o projeto do curso e ou disciplina(s) específica(s), a dificuldades de relacionamento com professor(es) e ou colegas e à falta de reconhecimento do curso pelo MEC.</w:t>
      </w:r>
    </w:p>
    <w:p w14:paraId="34828BDE" w14:textId="77777777" w:rsidR="009A1C3E" w:rsidRPr="009A1C3E" w:rsidRDefault="009A1C3E" w:rsidP="000D52FB">
      <w:pPr>
        <w:pBdr>
          <w:top w:val="nil"/>
          <w:left w:val="nil"/>
          <w:bottom w:val="nil"/>
          <w:right w:val="nil"/>
          <w:between w:val="nil"/>
          <w:bar w:val="nil"/>
        </w:pBdr>
        <w:tabs>
          <w:tab w:val="left" w:pos="709"/>
        </w:tabs>
        <w:spacing w:before="480" w:after="24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Efeitos e redução da evasão nos cursos de engenharia</w:t>
      </w:r>
    </w:p>
    <w:p w14:paraId="0F3C806B"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Para Lobo (2012), os efeitos da evasão, particularmente, nos cursos de Engenharia, são distribuídos em três grupos: o aluno, o órgão institucional e o meio político no qual estão inseridos. </w:t>
      </w:r>
    </w:p>
    <w:p w14:paraId="1F174843"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Para o aluno, os efeitos estão relacionados ao constrangimento e à incapacidade, causando, de certa maneira, a exclusão social que, por ventura, pode trazer problemas psicológicos. Em relação aos órgãos institucionais, os efeitos geram prejuízos financeiros e provocam, consequentemente, a demissão de funcionários e a ociosidade de espaços físicos e equipamentos. Por fim, os efeitos também afetam o meio político, desencadeando desperdício social e não retorno dos recursos financeiros investidos pelo governo.</w:t>
      </w:r>
    </w:p>
    <w:p w14:paraId="5B3BFF71"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No que tange à redução da evasão, Lobo (2012) apresenta sete pontos que poderiam contribuir para diminuí-la: 1) estabelecer um grupo de trabalho encarregado de reduzir a evasão, coletando dados que permitam medir os níveis de satisfação dos alunos e estabelecer programas acadêmicos de integração e recuperação dos alunos novos; 2) avaliar os dados estatísticos associados à evasão, destacando as épocas mais críticas em que ocorreram a evasão e, a partir daí, criar ações para dirimi-los; 3) determinar as causas da evasão, comparando as prioridades dos alunos com as avaliações dos serviços educacionais, administrativos e comunitários, ou seja, usar a avaliação institucional como um aliado para identificar e combater a evasão; 4) estimular a visão da IES centrada no aluno, envolvendo os coordenadores, os professores e os funcionários na busca pela melhoria da qualidade de vida acadêmica dos alunos, ingressantes ou não; 5) criar condições que atendam aos objetivos que atraíram os alunos, não os decepcionando nesse sentido; 6) tornar o ambiente e o trânsito na IES agradáveis aos alunos; e 7) criar programa de aconselhamento e orientação dos alunos proativo e permanente, criando, na IES, a cultura de acolher os alunos nos momentos em que eles precisam. </w:t>
      </w:r>
    </w:p>
    <w:p w14:paraId="27C3685F"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As IES privadas se preocupam em “captar” alunos para estudar em seus </w:t>
      </w:r>
      <w:r w:rsidRPr="009A1C3E">
        <w:rPr>
          <w:rFonts w:ascii="Calibri" w:eastAsia="Calibri" w:hAnsi="Calibri" w:cs="Calibri"/>
          <w:i/>
          <w:iCs/>
          <w:color w:val="000000"/>
          <w:u w:color="000000"/>
          <w:bdr w:val="nil"/>
          <w:lang w:val="pt-PT" w:eastAsia="pt-BR"/>
        </w:rPr>
        <w:t>campi</w:t>
      </w:r>
      <w:r w:rsidRPr="009A1C3E">
        <w:rPr>
          <w:rFonts w:ascii="Calibri" w:eastAsia="Calibri" w:hAnsi="Calibri" w:cs="Calibri"/>
          <w:color w:val="000000"/>
          <w:u w:color="000000"/>
          <w:bdr w:val="nil"/>
          <w:lang w:val="pt-PT" w:eastAsia="pt-BR"/>
        </w:rPr>
        <w:t xml:space="preserve">, por meio de campanhas de </w:t>
      </w:r>
      <w:r w:rsidRPr="009A1C3E">
        <w:rPr>
          <w:rFonts w:ascii="Calibri" w:eastAsia="Calibri" w:hAnsi="Calibri" w:cs="Calibri"/>
          <w:i/>
          <w:iCs/>
          <w:color w:val="000000"/>
          <w:u w:color="000000"/>
          <w:bdr w:val="nil"/>
          <w:lang w:val="pt-PT" w:eastAsia="pt-BR"/>
        </w:rPr>
        <w:t>marketing</w:t>
      </w:r>
      <w:r w:rsidRPr="009A1C3E">
        <w:rPr>
          <w:rFonts w:ascii="Calibri" w:eastAsia="Calibri" w:hAnsi="Calibri" w:cs="Calibri"/>
          <w:color w:val="000000"/>
          <w:u w:color="000000"/>
          <w:bdr w:val="nil"/>
          <w:lang w:val="pt-PT" w:eastAsia="pt-BR"/>
        </w:rPr>
        <w:t xml:space="preserve">, participação em feiras de profissão etc.; no entanto, quando se trata de acolhê-los e melhorar as condições da vida acadêmica dos alunos ingressantes, faltam ações mais efetivas das IES, que sejam mais institucionais e menos pontuais. </w:t>
      </w:r>
    </w:p>
    <w:p w14:paraId="0E87C195"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Com o intuito de fortalecer as considerações desta seção, na sequência, apresentaremos e analisaremos os resultados da nossa investigação feita nos Anais do COBENGE; contudo, inicialmente, exporemos, brevemente, a abordagem metodológica utilizada. </w:t>
      </w:r>
    </w:p>
    <w:p w14:paraId="091A2608" w14:textId="77777777" w:rsidR="009A1C3E" w:rsidRPr="009A1C3E" w:rsidRDefault="009A1C3E" w:rsidP="000D52FB">
      <w:pPr>
        <w:pBdr>
          <w:top w:val="nil"/>
          <w:left w:val="nil"/>
          <w:bottom w:val="nil"/>
          <w:right w:val="nil"/>
          <w:between w:val="nil"/>
          <w:bar w:val="nil"/>
        </w:pBdr>
        <w:tabs>
          <w:tab w:val="left" w:pos="709"/>
        </w:tabs>
        <w:spacing w:before="480" w:after="240"/>
        <w:ind w:left="2835"/>
        <w:jc w:val="both"/>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ABORDAGEM METODOLÓGICA</w:t>
      </w:r>
    </w:p>
    <w:p w14:paraId="4B31BD86"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Esta seção aborda os procedimentos metodológicos do estudo, no sentido de investigar o que tem sido debatido sobre a temática da evasão nos cursos </w:t>
      </w:r>
      <w:r w:rsidRPr="009A1C3E">
        <w:rPr>
          <w:rFonts w:ascii="Calibri" w:eastAsia="Calibri" w:hAnsi="Calibri" w:cs="Calibri"/>
          <w:color w:val="000000"/>
          <w:u w:color="000000"/>
          <w:bdr w:val="nil"/>
          <w:lang w:val="pt-PT" w:eastAsia="pt-BR"/>
        </w:rPr>
        <w:lastRenderedPageBreak/>
        <w:t xml:space="preserve">superiores, mais especificamente no curso superior de Engenharia. Para encontrar respostas a essa questão geral, desenvolvemos uma investigação delimitada, com apoio na seguinte questão específica: </w:t>
      </w:r>
      <w:r w:rsidRPr="009A1C3E">
        <w:rPr>
          <w:rFonts w:ascii="Calibri" w:eastAsia="Calibri" w:hAnsi="Calibri" w:cs="Calibri"/>
          <w:i/>
          <w:iCs/>
          <w:color w:val="000000"/>
          <w:u w:color="000000"/>
          <w:bdr w:val="nil"/>
          <w:lang w:val="pt-PT" w:eastAsia="pt-BR"/>
        </w:rPr>
        <w:t>O que as pesquisas publicadas nos anais do COBENGE, de 2000 a 2014, abordam com relação à evasão nos cursos de Engenharia?</w:t>
      </w:r>
    </w:p>
    <w:p w14:paraId="4E40957F"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Embora Gil (2008) admita que as pesquisas sociais sejam muito diferentes entre si, ele adota um esquema que compreende nove etapas: formulação do problema; construção de hipóteses ou determinação dos objetivos; delineamento da pesquisa; operacionalização dos conceitos e variáveis; seleção da amostra; elaboração dos instrumentos de coleta de dados; coleta de dados; análise e interpretação dos resultados; e redação do relatório.</w:t>
      </w:r>
    </w:p>
    <w:p w14:paraId="1EB3FE7B"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 abordagem da proposta deste estudo foi qualitativa, pois, segundo Bogdan e Biklen ((1994) apud PALANCH e PIRES (2013)), o pesquisador é o principal instrumento, os dados coletados, em sua maioria, são descritivos, o processo é mais importante do que o produto, bem como a análise dos dados procura seguir um processo indutivo. </w:t>
      </w:r>
    </w:p>
    <w:p w14:paraId="7A368A40" w14:textId="77777777" w:rsidR="009A1C3E" w:rsidRPr="009A1C3E" w:rsidRDefault="009A1C3E" w:rsidP="009A1C3E">
      <w:pPr>
        <w:pBdr>
          <w:top w:val="nil"/>
          <w:left w:val="nil"/>
          <w:bottom w:val="nil"/>
          <w:right w:val="nil"/>
          <w:between w:val="nil"/>
          <w:bar w:val="nil"/>
        </w:pBdr>
        <w:tabs>
          <w:tab w:val="left" w:pos="709"/>
        </w:tabs>
        <w:spacing w:before="240" w:after="240"/>
        <w:ind w:left="4536"/>
        <w:jc w:val="both"/>
        <w:rPr>
          <w:rFonts w:ascii="Calibri" w:eastAsia="Calibri" w:hAnsi="Calibri" w:cs="Calibri"/>
          <w:color w:val="000000"/>
          <w:sz w:val="18"/>
          <w:szCs w:val="18"/>
          <w:u w:color="000000"/>
          <w:bdr w:val="nil"/>
          <w:lang w:val="pt-PT" w:eastAsia="pt-BR"/>
        </w:rPr>
      </w:pPr>
      <w:bookmarkStart w:id="0" w:name="_Hlk519257034"/>
      <w:r w:rsidRPr="009A1C3E">
        <w:rPr>
          <w:rFonts w:ascii="Calibri" w:eastAsia="Calibri" w:hAnsi="Calibri" w:cs="Calibri"/>
          <w:color w:val="000000"/>
          <w:sz w:val="18"/>
          <w:szCs w:val="18"/>
          <w:u w:color="000000"/>
          <w:bdr w:val="nil"/>
          <w:lang w:val="pt-PT" w:eastAsia="pt-BR"/>
        </w:rPr>
        <w:t>Um levantamento e uma revisão do conhecimento produzido sobre o tema é um passo indispensável para desencadear um processo de análise qualitativa dos estudos produzidos nas diferentes áreas do conhecimento. Este tipo de estudo caracteriza-se por ser descritivo e analítico. (</w:t>
      </w:r>
      <w:r w:rsidRPr="009A1C3E">
        <w:rPr>
          <w:rFonts w:ascii="Calibri" w:eastAsia="Calibri" w:hAnsi="Calibri" w:cs="Calibri"/>
          <w:smallCaps/>
          <w:color w:val="000000"/>
          <w:sz w:val="18"/>
          <w:szCs w:val="18"/>
          <w:u w:color="000000"/>
          <w:bdr w:val="nil"/>
          <w:lang w:val="pt-PT" w:eastAsia="pt-BR"/>
        </w:rPr>
        <w:t xml:space="preserve">ROMANOWSKI </w:t>
      </w:r>
      <w:r w:rsidRPr="009A1C3E">
        <w:rPr>
          <w:rFonts w:ascii="Calibri" w:eastAsia="Calibri" w:hAnsi="Calibri" w:cs="Calibri"/>
          <w:color w:val="000000"/>
          <w:sz w:val="18"/>
          <w:szCs w:val="18"/>
          <w:u w:color="000000"/>
          <w:bdr w:val="nil"/>
          <w:lang w:val="pt-PT" w:eastAsia="pt-BR"/>
        </w:rPr>
        <w:t xml:space="preserve">e </w:t>
      </w:r>
      <w:r w:rsidRPr="009A1C3E">
        <w:rPr>
          <w:rFonts w:ascii="Calibri" w:eastAsia="Calibri" w:hAnsi="Calibri" w:cs="Calibri"/>
          <w:smallCaps/>
          <w:color w:val="000000"/>
          <w:sz w:val="18"/>
          <w:szCs w:val="18"/>
          <w:u w:color="000000"/>
          <w:bdr w:val="nil"/>
          <w:lang w:val="pt-PT" w:eastAsia="pt-BR"/>
        </w:rPr>
        <w:t>ENS</w:t>
      </w:r>
      <w:r w:rsidRPr="009A1C3E">
        <w:rPr>
          <w:rFonts w:ascii="Calibri" w:eastAsia="Calibri" w:hAnsi="Calibri" w:cs="Calibri"/>
          <w:color w:val="000000"/>
          <w:sz w:val="18"/>
          <w:szCs w:val="18"/>
          <w:u w:color="000000"/>
          <w:bdr w:val="nil"/>
          <w:lang w:val="pt-PT" w:eastAsia="pt-BR"/>
        </w:rPr>
        <w:t>, 2006, p. 43).</w:t>
      </w:r>
    </w:p>
    <w:bookmarkEnd w:id="0"/>
    <w:p w14:paraId="1962A3BA"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Nesse sentido, a pesquisa de cunho qualitativo foi a opção escolhida para construir este percurso metodológico, uma vez que, em consonância com Triviños (1987), expressa uma postura importante no campo da investigação educacional. </w:t>
      </w:r>
    </w:p>
    <w:p w14:paraId="782FCE64" w14:textId="77777777" w:rsidR="009A1C3E" w:rsidRPr="009A1C3E" w:rsidRDefault="009A1C3E" w:rsidP="009A1C3E">
      <w:pPr>
        <w:pBdr>
          <w:top w:val="nil"/>
          <w:left w:val="nil"/>
          <w:bottom w:val="nil"/>
          <w:right w:val="nil"/>
          <w:between w:val="nil"/>
          <w:bar w:val="nil"/>
        </w:pBdr>
        <w:spacing w:before="480" w:after="240"/>
        <w:ind w:left="2835"/>
        <w:jc w:val="both"/>
        <w:outlineLvl w:val="1"/>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 xml:space="preserve">DELINEAMENTO DO ESTUDO </w:t>
      </w:r>
    </w:p>
    <w:p w14:paraId="5D0DB887"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Em virtude do número reduzido de fontes primárias que se preocupavam com a evasão ou fracasso escolar no Ensino Superior, especificamente, no curso superior de Engenharia, optamos por analisar um tipo de fonte primária, ou seja, os anais do principal congresso sobre Educação em Engenharia no Brasil, qual seja o COBENGE. Pensamos que o reduzido número de fontes primárias sobre a nossa temática de investigação deve-se à recente democratização do acesso ao Ensino Superior, não mais do que </w:t>
      </w:r>
      <w:r w:rsidRPr="009A1C3E">
        <w:rPr>
          <w:rFonts w:ascii="Calibri" w:eastAsia="Calibri" w:hAnsi="Calibri" w:cs="Calibri"/>
          <w:color w:val="000000"/>
          <w:u w:color="FF0000"/>
          <w:bdr w:val="nil"/>
          <w:lang w:val="pt-PT" w:eastAsia="pt-BR"/>
        </w:rPr>
        <w:t xml:space="preserve">quinze </w:t>
      </w:r>
      <w:r w:rsidRPr="009A1C3E">
        <w:rPr>
          <w:rFonts w:ascii="Calibri" w:eastAsia="Calibri" w:hAnsi="Calibri" w:cs="Calibri"/>
          <w:color w:val="000000"/>
          <w:u w:color="000000"/>
          <w:bdr w:val="nil"/>
          <w:lang w:val="pt-PT" w:eastAsia="pt-BR"/>
        </w:rPr>
        <w:t xml:space="preserve">anos. </w:t>
      </w:r>
    </w:p>
    <w:p w14:paraId="726D09F4"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Ao decidir sobre direcionar o olhar apenas para os anais do COBENGE, a pesquisa qualitativa, além de bibliográfica, também assumiu o caráter de uma pesquisa do estado da arte, uma vez que procuramos “[...] inventariar, sistematizar e avaliar a produção científica numa determinada área (ou tema) de conhecimento” (FIORENTINI e LORENZATO 2006, p. 71). </w:t>
      </w:r>
    </w:p>
    <w:p w14:paraId="5C23B998"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Segundo Ferreira (2002), as pesquisas conhecidas como estado da arte ou estado do conhecimento são definidas como de caráter bibliográfico e com o desafio de mapear e de discutir uma determinada produção acadêmica em diferentes campos do conhecimento, tentando responder que aspectos e dimensões vêm sendo destacados e privilegiados em diferentes épocas e lugares, de que forma e em que condições têm sido produzidas certas dissertações de mestrado, teses de doutorado, publicações em periódicos e comunicações em anais de congressos e de seminários. </w:t>
      </w:r>
    </w:p>
    <w:p w14:paraId="6193E20B"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lastRenderedPageBreak/>
        <w:t>Também são reconhecidas por realizarem uma metodologia de caráter inventariante e descritivo da produção acadêmica e científica sobre o tema que busca investigar, à luz de categorias e facetas que se caracterizam enquanto tais em cada trabalho e no conjunto deles, sob os quais o fenômeno passa a ser analisado.</w:t>
      </w:r>
    </w:p>
    <w:p w14:paraId="0153BA6F"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 proposta de estudo em questão, enquadrada na modalidade de estado da arte, é de cunho: exploratório, devido ao processo de coleta de informações e materiais, ou seja, resumos de trabalhos publicados em anais do COBENGE sobre a temática de investigação; e bibliográfico, pelo processo de constituição dos dados da pesquisa, que compreende o levantamento de resumos e a elaboração de fichamentos baseados na leitura do material selecionado. </w:t>
      </w:r>
    </w:p>
    <w:p w14:paraId="0423E029" w14:textId="77777777" w:rsidR="009A1C3E" w:rsidRPr="009A1C3E" w:rsidRDefault="009A1C3E" w:rsidP="009A1C3E">
      <w:pPr>
        <w:pBdr>
          <w:top w:val="nil"/>
          <w:left w:val="nil"/>
          <w:bottom w:val="nil"/>
          <w:right w:val="nil"/>
          <w:between w:val="nil"/>
          <w:bar w:val="nil"/>
        </w:pBdr>
        <w:tabs>
          <w:tab w:val="left" w:pos="709"/>
        </w:tab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Para a realização desta pesquisa, seguiremos os procedimentos sugeridos por Romanowski e Ens (2006), quais sejam: a) definição dos descritores para direcionar as buscas que serão realizadas; b) localização dos anais dos COBENGE no período compreendido entre os anos 2000 e 2014; c) estabelecimento dos critérios para a seleção do material que comporá o </w:t>
      </w:r>
      <w:r w:rsidRPr="009A1C3E">
        <w:rPr>
          <w:rFonts w:ascii="Calibri" w:eastAsia="Calibri" w:hAnsi="Calibri" w:cs="Calibri"/>
          <w:i/>
          <w:iCs/>
          <w:color w:val="000000"/>
          <w:u w:color="000000"/>
          <w:bdr w:val="nil"/>
          <w:lang w:val="pt-PT" w:eastAsia="pt-BR"/>
        </w:rPr>
        <w:t>corpus</w:t>
      </w:r>
      <w:r w:rsidRPr="009A1C3E">
        <w:rPr>
          <w:rFonts w:ascii="Calibri" w:eastAsia="Calibri" w:hAnsi="Calibri" w:cs="Calibri"/>
          <w:color w:val="000000"/>
          <w:u w:color="000000"/>
          <w:bdr w:val="nil"/>
          <w:lang w:val="pt-PT" w:eastAsia="pt-BR"/>
        </w:rPr>
        <w:t xml:space="preserve"> do estado da arte; d) levantamento dos trabalhos; e) coleta do material de pesquisa; f) leitura dos resumos dos trabalhos com elaboração de síntese preliminar, considerando o tema, os objetivos, as problemáticas, metodologias, conclusões; g) aplicação do método da análise de conteúdo; h) elaboração das conclusões.   </w:t>
      </w:r>
    </w:p>
    <w:p w14:paraId="4104183C" w14:textId="2EDD3228" w:rsidR="009A1C3E" w:rsidRDefault="009A1C3E" w:rsidP="00FA432A">
      <w:pPr>
        <w:pBdr>
          <w:top w:val="nil"/>
          <w:left w:val="nil"/>
          <w:bottom w:val="nil"/>
          <w:right w:val="nil"/>
          <w:between w:val="nil"/>
          <w:bar w:val="nil"/>
        </w:pBdr>
        <w:spacing w:after="120"/>
        <w:ind w:left="2835" w:firstLine="426"/>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No que diz respeito ao processo de categorização, corroboramos com Palanch e Pires (2013, p. 145), ou seja, “compreende-se que as categorias de análise se constituirão </w:t>
      </w:r>
      <w:r w:rsidRPr="009A1C3E">
        <w:rPr>
          <w:rFonts w:ascii="Calibri" w:eastAsia="Calibri" w:hAnsi="Calibri" w:cs="Calibri"/>
          <w:i/>
          <w:iCs/>
          <w:color w:val="000000"/>
          <w:u w:color="000000"/>
          <w:bdr w:val="nil"/>
          <w:lang w:val="pt-PT" w:eastAsia="pt-BR"/>
        </w:rPr>
        <w:t>a posteriori</w:t>
      </w:r>
      <w:r w:rsidRPr="009A1C3E">
        <w:rPr>
          <w:rFonts w:ascii="Calibri" w:eastAsia="Calibri" w:hAnsi="Calibri" w:cs="Calibri"/>
          <w:color w:val="000000"/>
          <w:u w:color="000000"/>
          <w:bdr w:val="nil"/>
          <w:lang w:val="pt-PT" w:eastAsia="pt-BR"/>
        </w:rPr>
        <w:t>, sendo construídas ao longo do desenvolvimento da pesquisa e da interpretação dos dados pelo pesquisador conforme pressupõe a abordagem da investigação qualitativa”.</w:t>
      </w:r>
    </w:p>
    <w:p w14:paraId="76D9FC39" w14:textId="70E14FF7" w:rsidR="00FA432A" w:rsidRPr="00A97345" w:rsidRDefault="00FA432A" w:rsidP="000D52FB">
      <w:pPr>
        <w:pBdr>
          <w:top w:val="nil"/>
          <w:left w:val="nil"/>
          <w:bottom w:val="nil"/>
          <w:right w:val="nil"/>
          <w:between w:val="nil"/>
          <w:bar w:val="nil"/>
        </w:pBdr>
        <w:spacing w:before="480" w:after="240"/>
        <w:jc w:val="both"/>
        <w:rPr>
          <w:rFonts w:ascii="Calibri" w:eastAsia="Calibri" w:hAnsi="Calibri" w:cs="Calibri"/>
          <w:b/>
          <w:color w:val="FF0000"/>
          <w:u w:color="000000"/>
          <w:bdr w:val="nil"/>
          <w:lang w:val="pt-PT" w:eastAsia="pt-BR"/>
        </w:rPr>
      </w:pPr>
      <w:r>
        <w:rPr>
          <w:rFonts w:ascii="Calibri" w:eastAsia="Calibri" w:hAnsi="Calibri" w:cs="Calibri"/>
          <w:color w:val="000000"/>
          <w:u w:color="000000"/>
          <w:bdr w:val="nil"/>
          <w:lang w:val="pt-PT" w:eastAsia="pt-BR"/>
        </w:rPr>
        <w:tab/>
      </w:r>
      <w:r>
        <w:rPr>
          <w:rFonts w:ascii="Calibri" w:eastAsia="Calibri" w:hAnsi="Calibri" w:cs="Calibri"/>
          <w:color w:val="000000"/>
          <w:u w:color="000000"/>
          <w:bdr w:val="nil"/>
          <w:lang w:val="pt-PT" w:eastAsia="pt-BR"/>
        </w:rPr>
        <w:tab/>
      </w:r>
      <w:r>
        <w:rPr>
          <w:rFonts w:ascii="Calibri" w:eastAsia="Calibri" w:hAnsi="Calibri" w:cs="Calibri"/>
          <w:color w:val="000000"/>
          <w:u w:color="000000"/>
          <w:bdr w:val="nil"/>
          <w:lang w:val="pt-PT" w:eastAsia="pt-BR"/>
        </w:rPr>
        <w:tab/>
      </w:r>
      <w:r>
        <w:rPr>
          <w:rFonts w:ascii="Calibri" w:eastAsia="Calibri" w:hAnsi="Calibri" w:cs="Calibri"/>
          <w:color w:val="000000"/>
          <w:u w:color="000000"/>
          <w:bdr w:val="nil"/>
          <w:lang w:val="pt-PT" w:eastAsia="pt-BR"/>
        </w:rPr>
        <w:tab/>
      </w:r>
      <w:r>
        <w:rPr>
          <w:rFonts w:ascii="Calibri" w:eastAsia="Calibri" w:hAnsi="Calibri" w:cs="Calibri"/>
          <w:color w:val="000000"/>
          <w:u w:color="000000"/>
          <w:bdr w:val="nil"/>
          <w:lang w:val="pt-PT" w:eastAsia="pt-BR"/>
        </w:rPr>
        <w:tab/>
      </w:r>
      <w:r w:rsidRPr="00A97345">
        <w:rPr>
          <w:rFonts w:ascii="Calibri" w:eastAsia="Calibri" w:hAnsi="Calibri" w:cs="Calibri"/>
          <w:b/>
          <w:color w:val="FF0000"/>
          <w:u w:color="000000"/>
          <w:bdr w:val="nil"/>
          <w:lang w:val="pt-PT" w:eastAsia="pt-BR"/>
        </w:rPr>
        <w:t>O método da análise de conteúdo</w:t>
      </w:r>
    </w:p>
    <w:p w14:paraId="0EC597FE" w14:textId="75472349" w:rsidR="00FA432A" w:rsidRPr="00A97345" w:rsidRDefault="00FA432A" w:rsidP="00FA432A">
      <w:pPr>
        <w:pBdr>
          <w:top w:val="nil"/>
          <w:left w:val="nil"/>
          <w:bottom w:val="nil"/>
          <w:right w:val="nil"/>
          <w:between w:val="nil"/>
          <w:bar w:val="nil"/>
        </w:pBdr>
        <w:tabs>
          <w:tab w:val="left" w:pos="3119"/>
        </w:tabs>
        <w:spacing w:after="120"/>
        <w:ind w:left="2835" w:firstLine="426"/>
        <w:jc w:val="both"/>
        <w:rPr>
          <w:rFonts w:ascii="Calibri" w:eastAsia="Calibri" w:hAnsi="Calibri" w:cs="Calibri"/>
          <w:color w:val="FF0000"/>
          <w:u w:color="000000"/>
          <w:bdr w:val="nil"/>
          <w:lang w:val="pt-PT" w:eastAsia="pt-BR"/>
        </w:rPr>
      </w:pPr>
      <w:r w:rsidRPr="00A97345">
        <w:rPr>
          <w:rFonts w:ascii="Calibri" w:eastAsia="Calibri" w:hAnsi="Calibri" w:cs="Calibri"/>
          <w:color w:val="FF0000"/>
          <w:u w:color="000000"/>
          <w:bdr w:val="nil"/>
          <w:lang w:val="pt-PT" w:eastAsia="pt-BR"/>
        </w:rPr>
        <w:t xml:space="preserve"> A nossa estrutura de análise inspirou-se na metodologia da análise de conteúdo proposta por Bardin (2011)</w:t>
      </w:r>
      <w:r w:rsidR="00F808F7" w:rsidRPr="00A97345">
        <w:rPr>
          <w:rFonts w:ascii="Calibri" w:eastAsia="Calibri" w:hAnsi="Calibri" w:cs="Calibri"/>
          <w:color w:val="FF0000"/>
          <w:u w:color="000000"/>
          <w:bdr w:val="nil"/>
          <w:lang w:val="pt-PT" w:eastAsia="pt-BR"/>
        </w:rPr>
        <w:t>, para o qual:</w:t>
      </w:r>
    </w:p>
    <w:p w14:paraId="76739518" w14:textId="77777777" w:rsidR="00F808F7" w:rsidRPr="00A97345" w:rsidRDefault="00F808F7" w:rsidP="00F808F7">
      <w:pPr>
        <w:pBdr>
          <w:top w:val="nil"/>
          <w:left w:val="nil"/>
          <w:bottom w:val="nil"/>
          <w:right w:val="nil"/>
          <w:between w:val="nil"/>
          <w:bar w:val="nil"/>
        </w:pBdr>
        <w:tabs>
          <w:tab w:val="left" w:pos="709"/>
        </w:tabs>
        <w:spacing w:before="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 o terreno, o funcionamento e o objetivo da análise de conteúdo podem resumir-se da seguinte maneira: atualmente, e de modo geral, designa-se sob o termo de análise de conteúdo. [...] </w:t>
      </w:r>
    </w:p>
    <w:p w14:paraId="27D0AFF3" w14:textId="5AC15446" w:rsidR="00F808F7" w:rsidRPr="00A97345" w:rsidRDefault="00F808F7" w:rsidP="00F808F7">
      <w:pPr>
        <w:pBdr>
          <w:top w:val="nil"/>
          <w:left w:val="nil"/>
          <w:bottom w:val="nil"/>
          <w:right w:val="nil"/>
          <w:between w:val="nil"/>
          <w:bar w:val="nil"/>
        </w:pBdr>
        <w:tabs>
          <w:tab w:val="left" w:pos="709"/>
        </w:tabs>
        <w:spacing w:after="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Um 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dessas mensagens. (</w:t>
      </w:r>
      <w:r w:rsidRPr="00A97345">
        <w:rPr>
          <w:rFonts w:ascii="Calibri" w:eastAsia="Calibri" w:hAnsi="Calibri" w:cs="Calibri"/>
          <w:smallCaps/>
          <w:color w:val="FF0000"/>
          <w:sz w:val="18"/>
          <w:szCs w:val="18"/>
          <w:u w:color="000000"/>
          <w:bdr w:val="nil"/>
          <w:lang w:val="pt-PT" w:eastAsia="pt-BR"/>
        </w:rPr>
        <w:t>BARDIN, 2011</w:t>
      </w:r>
      <w:r w:rsidRPr="00A97345">
        <w:rPr>
          <w:rFonts w:ascii="Calibri" w:eastAsia="Calibri" w:hAnsi="Calibri" w:cs="Calibri"/>
          <w:color w:val="FF0000"/>
          <w:sz w:val="18"/>
          <w:szCs w:val="18"/>
          <w:u w:color="000000"/>
          <w:bdr w:val="nil"/>
          <w:lang w:val="pt-PT" w:eastAsia="pt-BR"/>
        </w:rPr>
        <w:t>, p. 48).</w:t>
      </w:r>
    </w:p>
    <w:p w14:paraId="45CAEC0D" w14:textId="04FD329F" w:rsidR="00F808F7" w:rsidRPr="00A97345" w:rsidRDefault="00F808F7" w:rsidP="00F808F7">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val="pt-PT" w:eastAsia="pt-BR"/>
        </w:rPr>
      </w:pPr>
      <w:r w:rsidRPr="00A97345">
        <w:rPr>
          <w:rFonts w:ascii="Calibri" w:eastAsia="Calibri" w:hAnsi="Calibri" w:cs="Calibri"/>
          <w:color w:val="FF0000"/>
          <w:u w:color="000000"/>
          <w:bdr w:val="nil"/>
          <w:lang w:val="pt-PT" w:eastAsia="pt-BR"/>
        </w:rPr>
        <w:t xml:space="preserve">Ainda segundo Bardin (2011, p. 48) os elementos da análise de conteúdo são </w:t>
      </w:r>
      <w:r w:rsidR="00D44116" w:rsidRPr="00A97345">
        <w:rPr>
          <w:rFonts w:ascii="Calibri" w:eastAsia="Calibri" w:hAnsi="Calibri" w:cs="Calibri"/>
          <w:color w:val="FF0000"/>
          <w:u w:color="000000"/>
          <w:bdr w:val="nil"/>
          <w:lang w:val="pt-PT" w:eastAsia="pt-BR"/>
        </w:rPr>
        <w:t xml:space="preserve">“todas as iniciativas que, a partir de um conjunto de técnicas parciais, mas complementares, consistam na explicitação e sistematização do conteúdo das mensagens e da expressão deste conteúdo”. O método da análise de conteúdo consiste na organização da análise, na codificação, na categorização e na inferência. </w:t>
      </w:r>
    </w:p>
    <w:p w14:paraId="1237B4B1" w14:textId="77777777" w:rsidR="009F4371" w:rsidRPr="00A97345" w:rsidRDefault="009F4371" w:rsidP="000D52FB">
      <w:pPr>
        <w:pBdr>
          <w:top w:val="nil"/>
          <w:left w:val="nil"/>
          <w:bottom w:val="nil"/>
          <w:right w:val="nil"/>
          <w:between w:val="nil"/>
          <w:bar w:val="nil"/>
        </w:pBdr>
        <w:tabs>
          <w:tab w:val="left" w:pos="709"/>
        </w:tabs>
        <w:spacing w:after="120"/>
        <w:ind w:left="2835"/>
        <w:jc w:val="both"/>
        <w:rPr>
          <w:rFonts w:ascii="Calibri" w:eastAsia="Calibri" w:hAnsi="Calibri" w:cs="Calibri"/>
          <w:b/>
          <w:bCs/>
          <w:color w:val="FF0000"/>
          <w:u w:color="000000"/>
          <w:bdr w:val="nil"/>
          <w:lang w:eastAsia="pt-BR"/>
        </w:rPr>
      </w:pPr>
      <w:r w:rsidRPr="00A97345">
        <w:rPr>
          <w:rFonts w:ascii="Calibri" w:eastAsia="Calibri" w:hAnsi="Calibri" w:cs="Calibri"/>
          <w:b/>
          <w:bCs/>
          <w:color w:val="FF0000"/>
          <w:u w:color="000000"/>
          <w:bdr w:val="nil"/>
          <w:lang w:eastAsia="pt-BR"/>
        </w:rPr>
        <w:t>A organização da análise</w:t>
      </w:r>
    </w:p>
    <w:p w14:paraId="7E1BAFFB" w14:textId="230ABCE2"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proofErr w:type="spellStart"/>
      <w:r w:rsidRPr="00A97345">
        <w:rPr>
          <w:rFonts w:ascii="Calibri" w:eastAsia="Calibri" w:hAnsi="Calibri" w:cs="Calibri"/>
          <w:color w:val="FF0000"/>
          <w:u w:color="000000"/>
          <w:bdr w:val="nil"/>
          <w:lang w:eastAsia="pt-BR"/>
        </w:rPr>
        <w:lastRenderedPageBreak/>
        <w:t>Bardin</w:t>
      </w:r>
      <w:proofErr w:type="spellEnd"/>
      <w:r w:rsidRPr="00A97345">
        <w:rPr>
          <w:rFonts w:ascii="Calibri" w:eastAsia="Calibri" w:hAnsi="Calibri" w:cs="Calibri"/>
          <w:color w:val="FF0000"/>
          <w:u w:color="000000"/>
          <w:bdr w:val="nil"/>
          <w:lang w:eastAsia="pt-BR"/>
        </w:rPr>
        <w:t xml:space="preserve"> (2011) organiza a análise de conteúdo em três polos cronológicos: a </w:t>
      </w:r>
      <w:proofErr w:type="spellStart"/>
      <w:r w:rsidRPr="00A97345">
        <w:rPr>
          <w:rFonts w:ascii="Calibri" w:eastAsia="Calibri" w:hAnsi="Calibri" w:cs="Calibri"/>
          <w:color w:val="FF0000"/>
          <w:u w:color="000000"/>
          <w:bdr w:val="nil"/>
          <w:lang w:eastAsia="pt-BR"/>
        </w:rPr>
        <w:t>pré-análise</w:t>
      </w:r>
      <w:proofErr w:type="spellEnd"/>
      <w:r w:rsidRPr="00A97345">
        <w:rPr>
          <w:rFonts w:ascii="Calibri" w:eastAsia="Calibri" w:hAnsi="Calibri" w:cs="Calibri"/>
          <w:color w:val="FF0000"/>
          <w:u w:color="000000"/>
          <w:bdr w:val="nil"/>
          <w:lang w:eastAsia="pt-BR"/>
        </w:rPr>
        <w:t>; a exploração do material e o tratamento dos resultados; e a inferência e a interpretação.</w:t>
      </w:r>
    </w:p>
    <w:p w14:paraId="073B2D8B" w14:textId="77777777" w:rsidR="009F4371" w:rsidRPr="00A97345" w:rsidRDefault="009F4371" w:rsidP="009F4371">
      <w:pPr>
        <w:pBdr>
          <w:top w:val="nil"/>
          <w:left w:val="nil"/>
          <w:bottom w:val="nil"/>
          <w:right w:val="nil"/>
          <w:between w:val="nil"/>
          <w:bar w:val="nil"/>
        </w:pBdr>
        <w:tabs>
          <w:tab w:val="left" w:pos="709"/>
        </w:tabs>
        <w:spacing w:after="120"/>
        <w:ind w:left="2835"/>
        <w:jc w:val="both"/>
        <w:rPr>
          <w:rFonts w:ascii="Calibri" w:eastAsia="Calibri" w:hAnsi="Calibri" w:cs="Calibri"/>
          <w:b/>
          <w:bCs/>
          <w:color w:val="FF0000"/>
          <w:u w:color="000000"/>
          <w:bdr w:val="nil"/>
          <w:lang w:eastAsia="pt-BR"/>
        </w:rPr>
      </w:pPr>
      <w:r w:rsidRPr="00A97345">
        <w:rPr>
          <w:rFonts w:ascii="Calibri" w:eastAsia="Calibri" w:hAnsi="Calibri" w:cs="Calibri"/>
          <w:b/>
          <w:bCs/>
          <w:color w:val="FF0000"/>
          <w:u w:color="000000"/>
          <w:bdr w:val="nil"/>
          <w:lang w:eastAsia="pt-BR"/>
        </w:rPr>
        <w:t>A codificação</w:t>
      </w:r>
    </w:p>
    <w:p w14:paraId="044EDCA1" w14:textId="7432FA54"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proofErr w:type="spellStart"/>
      <w:r w:rsidRPr="00A97345">
        <w:rPr>
          <w:rFonts w:ascii="Calibri" w:eastAsia="Calibri" w:hAnsi="Calibri" w:cs="Calibri"/>
          <w:color w:val="FF0000"/>
          <w:u w:color="000000"/>
          <w:bdr w:val="nil"/>
          <w:lang w:eastAsia="pt-BR"/>
        </w:rPr>
        <w:t>Bardin</w:t>
      </w:r>
      <w:proofErr w:type="spellEnd"/>
      <w:r w:rsidRPr="00A97345">
        <w:rPr>
          <w:rFonts w:ascii="Calibri" w:eastAsia="Calibri" w:hAnsi="Calibri" w:cs="Calibri"/>
          <w:color w:val="FF0000"/>
          <w:u w:color="000000"/>
          <w:bdr w:val="nil"/>
          <w:lang w:eastAsia="pt-BR"/>
        </w:rPr>
        <w:t xml:space="preserve"> (2011) afirma que tratar o material significa codificá-lo. </w:t>
      </w:r>
    </w:p>
    <w:p w14:paraId="6072C9A1" w14:textId="77777777" w:rsidR="009F4371" w:rsidRPr="00A97345" w:rsidRDefault="009F4371" w:rsidP="009F4371">
      <w:pPr>
        <w:pBdr>
          <w:top w:val="nil"/>
          <w:left w:val="nil"/>
          <w:bottom w:val="nil"/>
          <w:right w:val="nil"/>
          <w:between w:val="nil"/>
          <w:bar w:val="nil"/>
        </w:pBdr>
        <w:tabs>
          <w:tab w:val="left" w:pos="709"/>
        </w:tabs>
        <w:spacing w:before="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A codificação corresponde a uma transformação – efetuada segundo regras precisas – dos dados brutos do texto, transformação esta que, por recorte, agregação e enumeração, permite atingir uma representação do conteúdo ou da sua expressão. [...]</w:t>
      </w:r>
    </w:p>
    <w:p w14:paraId="2EAE07B8" w14:textId="77777777" w:rsidR="009F4371" w:rsidRPr="00A97345" w:rsidRDefault="009F4371" w:rsidP="009F4371">
      <w:pPr>
        <w:pBdr>
          <w:top w:val="nil"/>
          <w:left w:val="nil"/>
          <w:bottom w:val="nil"/>
          <w:right w:val="nil"/>
          <w:between w:val="nil"/>
          <w:bar w:val="nil"/>
        </w:pBdr>
        <w:tabs>
          <w:tab w:val="left" w:pos="709"/>
        </w:tabs>
        <w:spacing w:after="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 suscetível de esclarecer o analista acerca das características do texto, que podem servir de índices, ou, como diz O. R. Holsti: A codificação é o processo pelo qual os dados brutos são transformados sistematicamente e agregados em unidades, as quais permitem uma descrição exata das características pertinentes do conteúdo. (BARDIN, 2011, p. 133). </w:t>
      </w:r>
    </w:p>
    <w:p w14:paraId="656AFCB3"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Para </w:t>
      </w:r>
      <w:proofErr w:type="spellStart"/>
      <w:r w:rsidRPr="00A97345">
        <w:rPr>
          <w:rFonts w:ascii="Calibri" w:eastAsia="Calibri" w:hAnsi="Calibri" w:cs="Calibri"/>
          <w:color w:val="FF0000"/>
          <w:u w:color="000000"/>
          <w:bdr w:val="nil"/>
          <w:lang w:eastAsia="pt-BR"/>
        </w:rPr>
        <w:t>Bardin</w:t>
      </w:r>
      <w:proofErr w:type="spellEnd"/>
      <w:r w:rsidRPr="00A97345">
        <w:rPr>
          <w:rFonts w:ascii="Calibri" w:eastAsia="Calibri" w:hAnsi="Calibri" w:cs="Calibri"/>
          <w:color w:val="FF0000"/>
          <w:u w:color="000000"/>
          <w:bdr w:val="nil"/>
          <w:lang w:eastAsia="pt-BR"/>
        </w:rPr>
        <w:t xml:space="preserve"> (2011, p. 133), “a organização da codificação compreende três escolhas (no caso de uma análise quantitativa e categorial)”. São elas: o recorte (escolha das unidades); a enumeração (escolha das regras de contagem); e a classificação e a agregação (escolha das categorias).</w:t>
      </w:r>
    </w:p>
    <w:p w14:paraId="546D5D95" w14:textId="77777777" w:rsidR="009F4371" w:rsidRPr="00A97345" w:rsidRDefault="009F4371" w:rsidP="009F4371">
      <w:pPr>
        <w:pBdr>
          <w:top w:val="nil"/>
          <w:left w:val="nil"/>
          <w:bottom w:val="nil"/>
          <w:right w:val="nil"/>
          <w:between w:val="nil"/>
          <w:bar w:val="nil"/>
        </w:pBdr>
        <w:tabs>
          <w:tab w:val="left" w:pos="709"/>
        </w:tabs>
        <w:spacing w:before="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 a escolha das unidades de registro e de contexto deve responder de maneira pertinente (pertinência em relação às características do material e face aos objetivos da análise). [...] </w:t>
      </w:r>
    </w:p>
    <w:p w14:paraId="02ABEEF4" w14:textId="77777777" w:rsidR="009F4371" w:rsidRPr="00A97345" w:rsidRDefault="009F4371" w:rsidP="009F4371">
      <w:pPr>
        <w:pBdr>
          <w:top w:val="nil"/>
          <w:left w:val="nil"/>
          <w:bottom w:val="nil"/>
          <w:right w:val="nil"/>
          <w:between w:val="nil"/>
          <w:bar w:val="nil"/>
        </w:pBdr>
        <w:tabs>
          <w:tab w:val="left" w:pos="709"/>
        </w:tabs>
        <w:spacing w:after="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a) A unidade de registro – É a unidade de significação codificada e corresponde ao segmento de conteúdo considerado unidade base, visando a categorização e a contagem frequencial. A unidade de registro pode ser de natureza e de dimensões muito variáveis. [...] Efetivamente, executam-se certos recortes a nível semântico, por exemplo, o “tema”, enquanto que outros são feitos a um nível aparentemente linguístico, como a “palavra” ou a “frase”. [...] b) A unidade de contexto – A unidade de contexto serve de unidade de compreensão para codificar a unidade de registro e corresponde ao segmento da mensagem, cujas dimensões (superiores às da unidade de registro) são ótimas para que se possa compreender a significação exata da unidade de registro. (BARDIN, 2011, p. 134-136). </w:t>
      </w:r>
    </w:p>
    <w:p w14:paraId="18FAC79B" w14:textId="5ABC9DEB"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bCs/>
          <w:color w:val="FF0000"/>
          <w:u w:color="000000"/>
          <w:bdr w:val="nil"/>
          <w:lang w:eastAsia="pt-BR"/>
        </w:rPr>
      </w:pPr>
      <w:r w:rsidRPr="00A97345">
        <w:rPr>
          <w:rFonts w:ascii="Calibri" w:eastAsia="Calibri" w:hAnsi="Calibri" w:cs="Calibri"/>
          <w:bCs/>
          <w:color w:val="FF0000"/>
          <w:u w:color="000000"/>
          <w:bdr w:val="nil"/>
          <w:lang w:eastAsia="pt-BR"/>
        </w:rPr>
        <w:t xml:space="preserve">Em nosso trabalho realizamos a codificação utilizando o sistema alfanumérico, ou seja, letras do alfabeto iniciando pela letra “A” para os artigos selecionados do ano 2000; até a letra “O” para os artigos selecionados do ano 2014. </w:t>
      </w:r>
    </w:p>
    <w:p w14:paraId="09FD5FC1" w14:textId="77777777" w:rsidR="009F4371" w:rsidRPr="00A97345" w:rsidRDefault="009F4371" w:rsidP="009F4371">
      <w:pPr>
        <w:pBdr>
          <w:top w:val="nil"/>
          <w:left w:val="nil"/>
          <w:bottom w:val="nil"/>
          <w:right w:val="nil"/>
          <w:between w:val="nil"/>
          <w:bar w:val="nil"/>
        </w:pBdr>
        <w:tabs>
          <w:tab w:val="left" w:pos="709"/>
        </w:tabs>
        <w:spacing w:after="120"/>
        <w:ind w:left="2835"/>
        <w:jc w:val="both"/>
        <w:rPr>
          <w:rFonts w:ascii="Calibri" w:eastAsia="Calibri" w:hAnsi="Calibri" w:cs="Calibri"/>
          <w:b/>
          <w:bCs/>
          <w:color w:val="FF0000"/>
          <w:u w:color="000000"/>
          <w:bdr w:val="nil"/>
          <w:lang w:eastAsia="pt-BR"/>
        </w:rPr>
      </w:pPr>
      <w:r w:rsidRPr="00A97345">
        <w:rPr>
          <w:rFonts w:ascii="Calibri" w:eastAsia="Calibri" w:hAnsi="Calibri" w:cs="Calibri"/>
          <w:b/>
          <w:bCs/>
          <w:color w:val="FF0000"/>
          <w:u w:color="000000"/>
          <w:bdr w:val="nil"/>
          <w:lang w:eastAsia="pt-BR"/>
        </w:rPr>
        <w:t>A categorização</w:t>
      </w:r>
    </w:p>
    <w:p w14:paraId="584F2AFB" w14:textId="0406471C"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Ainda conforme </w:t>
      </w:r>
      <w:proofErr w:type="spellStart"/>
      <w:r w:rsidRPr="00A97345">
        <w:rPr>
          <w:rFonts w:ascii="Calibri" w:eastAsia="Calibri" w:hAnsi="Calibri" w:cs="Calibri"/>
          <w:color w:val="FF0000"/>
          <w:u w:color="000000"/>
          <w:bdr w:val="nil"/>
          <w:lang w:eastAsia="pt-BR"/>
        </w:rPr>
        <w:t>Bardin</w:t>
      </w:r>
      <w:proofErr w:type="spellEnd"/>
      <w:r w:rsidRPr="00A97345">
        <w:rPr>
          <w:rFonts w:ascii="Calibri" w:eastAsia="Calibri" w:hAnsi="Calibri" w:cs="Calibri"/>
          <w:color w:val="FF0000"/>
          <w:u w:color="000000"/>
          <w:bdr w:val="nil"/>
          <w:lang w:eastAsia="pt-BR"/>
        </w:rPr>
        <w:t xml:space="preserve"> (2011, p. 147), a </w:t>
      </w:r>
    </w:p>
    <w:p w14:paraId="7030BE0A" w14:textId="77777777" w:rsidR="009F4371" w:rsidRPr="00A97345" w:rsidRDefault="009F4371" w:rsidP="009F4371">
      <w:pPr>
        <w:pBdr>
          <w:top w:val="nil"/>
          <w:left w:val="nil"/>
          <w:bottom w:val="nil"/>
          <w:right w:val="nil"/>
          <w:between w:val="nil"/>
          <w:bar w:val="nil"/>
        </w:pBdr>
        <w:tabs>
          <w:tab w:val="left" w:pos="709"/>
        </w:tabs>
        <w:spacing w:before="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 maioria dos procedimentos de análise organiza-se [...] em redor de um processo de categorização. [...] </w:t>
      </w:r>
    </w:p>
    <w:p w14:paraId="18F78430" w14:textId="77777777" w:rsidR="009F4371" w:rsidRPr="00A97345" w:rsidRDefault="009F4371" w:rsidP="009F4371">
      <w:pPr>
        <w:pBdr>
          <w:top w:val="nil"/>
          <w:left w:val="nil"/>
          <w:bottom w:val="nil"/>
          <w:right w:val="nil"/>
          <w:between w:val="nil"/>
          <w:bar w:val="nil"/>
        </w:pBdr>
        <w:tabs>
          <w:tab w:val="left" w:pos="709"/>
        </w:tabs>
        <w:spacing w:after="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A categorização é uma operação de classificação de elementos constitutivos de um conjunto por diferenciação e, em seguida, por reagrupamento segundo gênero (analogia), com os critérios previamente definidos. As categorias são rubricas ou classes, as quais reúnem um grupo de elementos (unidades de registro, no caso da análise de conteúdo) sob um título genérico, agrupamento esse efetuado em razão das características comuns destes elementos. O critério de categorização pode ser semântico (categorias temáticas: por exemplo, todos os temas que significam a ansiedade ficam agrupados na categoria “ansiedade”, enquanto que os que significam a descontração ficam agrupados sob o título conceitual “descontração”, sintático (os verbos, os adjetivos), léxico (classificação das palavras segundo </w:t>
      </w:r>
      <w:r w:rsidRPr="00A97345">
        <w:rPr>
          <w:rFonts w:ascii="Calibri" w:eastAsia="Calibri" w:hAnsi="Calibri" w:cs="Calibri"/>
          <w:color w:val="FF0000"/>
          <w:sz w:val="18"/>
          <w:szCs w:val="18"/>
          <w:u w:color="000000"/>
          <w:bdr w:val="nil"/>
          <w:lang w:val="pt-PT" w:eastAsia="pt-BR"/>
        </w:rPr>
        <w:lastRenderedPageBreak/>
        <w:t xml:space="preserve">o seu sentido, com emparelhamento dos sinônimos e dos sentidos próximos) e expressivo (por exemplo, categorias que classificam as diversas perturbações da linguagem). </w:t>
      </w:r>
    </w:p>
    <w:p w14:paraId="6A96F755"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ab/>
        <w:t xml:space="preserve">A classificação dos elementos em categorias, segundo </w:t>
      </w:r>
      <w:proofErr w:type="spellStart"/>
      <w:r w:rsidRPr="00A97345">
        <w:rPr>
          <w:rFonts w:ascii="Calibri" w:eastAsia="Calibri" w:hAnsi="Calibri" w:cs="Calibri"/>
          <w:color w:val="FF0000"/>
          <w:u w:color="000000"/>
          <w:bdr w:val="nil"/>
          <w:lang w:eastAsia="pt-BR"/>
        </w:rPr>
        <w:t>Bardin</w:t>
      </w:r>
      <w:proofErr w:type="spellEnd"/>
      <w:r w:rsidRPr="00A97345">
        <w:rPr>
          <w:rFonts w:ascii="Calibri" w:eastAsia="Calibri" w:hAnsi="Calibri" w:cs="Calibri"/>
          <w:color w:val="FF0000"/>
          <w:u w:color="000000"/>
          <w:bdr w:val="nil"/>
          <w:lang w:eastAsia="pt-BR"/>
        </w:rPr>
        <w:t xml:space="preserve"> (2011, p. 148),</w:t>
      </w:r>
    </w:p>
    <w:p w14:paraId="3C9B662D" w14:textId="77777777" w:rsidR="009F4371" w:rsidRPr="00A97345" w:rsidRDefault="009F4371" w:rsidP="009F4371">
      <w:pPr>
        <w:pBdr>
          <w:top w:val="nil"/>
          <w:left w:val="nil"/>
          <w:bottom w:val="nil"/>
          <w:right w:val="nil"/>
          <w:between w:val="nil"/>
          <w:bar w:val="nil"/>
        </w:pBdr>
        <w:tabs>
          <w:tab w:val="left" w:pos="709"/>
        </w:tabs>
        <w:spacing w:before="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 impõe a investigação do que cada um deles tem em comum com outros. O que vai permitir o seu agrupamento é a parte comum existente entre eles. [...] </w:t>
      </w:r>
    </w:p>
    <w:p w14:paraId="30AB8E36" w14:textId="77777777" w:rsidR="009F4371" w:rsidRPr="00A97345" w:rsidRDefault="009F4371" w:rsidP="009F4371">
      <w:pPr>
        <w:pBdr>
          <w:top w:val="nil"/>
          <w:left w:val="nil"/>
          <w:bottom w:val="nil"/>
          <w:right w:val="nil"/>
          <w:between w:val="nil"/>
          <w:bar w:val="nil"/>
        </w:pBdr>
        <w:tabs>
          <w:tab w:val="left" w:pos="709"/>
        </w:tabs>
        <w:spacing w:after="240"/>
        <w:ind w:left="4536"/>
        <w:jc w:val="both"/>
        <w:rPr>
          <w:rFonts w:ascii="Calibri" w:eastAsia="Calibri" w:hAnsi="Calibri" w:cs="Calibri"/>
          <w:color w:val="FF0000"/>
          <w:sz w:val="18"/>
          <w:szCs w:val="18"/>
          <w:u w:color="000000"/>
          <w:bdr w:val="nil"/>
          <w:lang w:val="pt-PT" w:eastAsia="pt-BR"/>
        </w:rPr>
      </w:pPr>
      <w:r w:rsidRPr="00A97345">
        <w:rPr>
          <w:rFonts w:ascii="Calibri" w:eastAsia="Calibri" w:hAnsi="Calibri" w:cs="Calibri"/>
          <w:color w:val="FF0000"/>
          <w:sz w:val="18"/>
          <w:szCs w:val="18"/>
          <w:u w:color="000000"/>
          <w:bdr w:val="nil"/>
          <w:lang w:val="pt-PT" w:eastAsia="pt-BR"/>
        </w:rPr>
        <w:t xml:space="preserve">É possível, contudo, que outros critérios insistam em outros aspectos de analogia, talvez modificando consideravelmente a repartição anterior. A categorização é um processo de tipo estruturalista e comporta duas etapas: - o inventário: isolar os elementos; - a classificação: repartir os elementos e, portanto, procurar ou impor certa organização às mensagens. </w:t>
      </w:r>
    </w:p>
    <w:p w14:paraId="407B7A7E"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ab/>
        <w:t>Há, para a autora, boas e más categorias. Segundo ela, um conjunto de categorias boas deve possuir as qualidades de exclusão mútua (cada elemento não pode existir em mais de uma divisão); homogeneidade (um único princípio de classificação deve governar a sua organização); pertinência (uma categoria é considerada pertinente quando está adaptada ao material de análise escolhido, e quando pertence ao quadro teórico definido); objetividade e fidelidade (as diferentes partes de um mesmo material, ao qual se aplica a mesma grade categorial, devem ser codificadas da mesma maneira, mesmo quando submetidas a várias análises); e produtividade (um conjunto de categorias é produtivo se fornece resultados férteis).</w:t>
      </w:r>
    </w:p>
    <w:p w14:paraId="5C171B8C" w14:textId="7C85E32D"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bCs/>
          <w:color w:val="FF0000"/>
          <w:u w:color="000000"/>
          <w:bdr w:val="nil"/>
          <w:lang w:eastAsia="pt-BR"/>
        </w:rPr>
        <w:t>Para a realização da categorização desta pesquisa estipulou-se o período de 2000 a 2014, e através do banco de dados do COBENGE por meio eletrônico como fonte documental, efetuamos buscas em seis etapas distintas.</w:t>
      </w:r>
    </w:p>
    <w:p w14:paraId="7D88B9A6" w14:textId="0EF419C4"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bCs/>
          <w:color w:val="FF0000"/>
          <w:u w:color="000000"/>
          <w:bdr w:val="nil"/>
          <w:lang w:eastAsia="pt-BR"/>
        </w:rPr>
        <w:t>Com intuito de encontrar respostas para nossas perguntas, selecionamos artigos com: títulos, palavras chave, resumos, e termos semelhantes a “evasão”</w:t>
      </w:r>
      <w:r w:rsidR="009A1AAF" w:rsidRPr="00A97345">
        <w:rPr>
          <w:rFonts w:ascii="Calibri" w:eastAsia="Calibri" w:hAnsi="Calibri" w:cs="Calibri"/>
          <w:bCs/>
          <w:color w:val="FF0000"/>
          <w:u w:color="000000"/>
          <w:bdr w:val="nil"/>
          <w:lang w:eastAsia="pt-BR"/>
        </w:rPr>
        <w:t xml:space="preserve"> e a “matemática relacionada com a evasão”</w:t>
      </w:r>
      <w:r w:rsidR="0028266C" w:rsidRPr="00A97345">
        <w:rPr>
          <w:rFonts w:ascii="Calibri" w:eastAsia="Calibri" w:hAnsi="Calibri" w:cs="Calibri"/>
          <w:bCs/>
          <w:color w:val="FF0000"/>
          <w:u w:color="000000"/>
          <w:bdr w:val="nil"/>
          <w:lang w:eastAsia="pt-BR"/>
        </w:rPr>
        <w:t xml:space="preserve">. </w:t>
      </w:r>
    </w:p>
    <w:p w14:paraId="014715D0"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bCs/>
          <w:color w:val="FF0000"/>
          <w:u w:color="000000"/>
          <w:bdr w:val="nil"/>
          <w:lang w:eastAsia="pt-BR"/>
        </w:rPr>
        <w:t>Através da codificação por letras do alfabeto; iniciando pela letra “A” para os artigos selecionados do ano 2000; até a letra “O” para os artigos selecionados do ano 2014; e algarismos numéricos para quantificar os artigos do mesmo ano, desta forma o primeiro artigo selecionado do ano 2000 foi codificado como “A1”; até o último do ano 2014, que foi codificado como “O20”; para todos os artigos com títulos, palavras-chave ou palavras que direcionavam a “evasão”.</w:t>
      </w:r>
    </w:p>
    <w:p w14:paraId="209FF162"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Segundo </w:t>
      </w:r>
      <w:proofErr w:type="spellStart"/>
      <w:r w:rsidRPr="00A97345">
        <w:rPr>
          <w:rFonts w:ascii="Calibri" w:eastAsia="Calibri" w:hAnsi="Calibri" w:cs="Calibri"/>
          <w:color w:val="FF0000"/>
          <w:u w:color="000000"/>
          <w:bdr w:val="nil"/>
          <w:lang w:eastAsia="pt-BR"/>
        </w:rPr>
        <w:t>Bardin</w:t>
      </w:r>
      <w:proofErr w:type="spellEnd"/>
      <w:r w:rsidRPr="00A97345">
        <w:rPr>
          <w:rFonts w:ascii="Calibri" w:eastAsia="Calibri" w:hAnsi="Calibri" w:cs="Calibri"/>
          <w:color w:val="FF0000"/>
          <w:u w:color="000000"/>
          <w:bdr w:val="nil"/>
          <w:lang w:eastAsia="pt-BR"/>
        </w:rPr>
        <w:t xml:space="preserve"> (2011, p. 165), a análise de conteúdo “fornece informações suplementares ao leitor crítico de uma mensagem [...] que deseja distanciar-se da sua leitura “aderente”, para saber mais sobre o texto”, ou seja, os polos da análise (atração).   </w:t>
      </w:r>
    </w:p>
    <w:p w14:paraId="32FBED58" w14:textId="7777777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Teoricamente, pode remeter para ou apoiar-se nos elementos constitutivos do mecanismo clássico da comunicação: por um lado, a mensagem (significação e código) e o seu suporte ou canal; por outro, o emissor e o receptor, enquanto polos de inferência propriamente ditos. a) O emissor ou produtor de mensagem – pode ser um indivíduo ou um grupo de indivíduos emissores. [...] a mensagem exprime e representa o emissor. [...] b) O receptor – pode ser um indivíduo, um grupo (restrito ou alargado) de indivíduos, ou uma massa de indivíduos. [...] c) A mensagem – qualquer análise de conteúdo passa pela análise da própria mensagem. Esta constitui o material, o ponto de partida e o indicador sem o qual a análise não seria possível. [...] d) O médium – isto é, o canal, o instrumento, o </w:t>
      </w:r>
      <w:r w:rsidRPr="00A97345">
        <w:rPr>
          <w:rFonts w:ascii="Calibri" w:eastAsia="Calibri" w:hAnsi="Calibri" w:cs="Calibri"/>
          <w:color w:val="FF0000"/>
          <w:u w:color="000000"/>
          <w:bdr w:val="nil"/>
          <w:lang w:eastAsia="pt-BR"/>
        </w:rPr>
        <w:lastRenderedPageBreak/>
        <w:t xml:space="preserve">objetivo técnico, o suporte material do código, mas este gênero de estudo deve servir-se mais dos procedimentos experimentais do que das análises de conteúdo.  (BARDIN, 2011, p. 165-168). </w:t>
      </w:r>
    </w:p>
    <w:p w14:paraId="05CD15A9" w14:textId="546B0597"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Em suma, conforme já reiterado, esta pesquisa parte de uma investigação relacionada à problemática da evasão no Ensino Superior, mais especificamente nos cursos de Engenharia, com base nos artigos publicados nos anais do COBENGE, no período compreendido entre 2000 e 2014. Conforme destacado anteriormente, as categorias de análises em questão serão construídas </w:t>
      </w:r>
      <w:r w:rsidRPr="00A97345">
        <w:rPr>
          <w:rFonts w:ascii="Calibri" w:eastAsia="Calibri" w:hAnsi="Calibri" w:cs="Calibri"/>
          <w:i/>
          <w:iCs/>
          <w:color w:val="FF0000"/>
          <w:u w:color="000000"/>
          <w:bdr w:val="nil"/>
          <w:lang w:eastAsia="pt-BR"/>
        </w:rPr>
        <w:t>a posteriori;</w:t>
      </w:r>
      <w:r w:rsidRPr="00A97345">
        <w:rPr>
          <w:rFonts w:ascii="Calibri" w:eastAsia="Calibri" w:hAnsi="Calibri" w:cs="Calibri"/>
          <w:color w:val="FF0000"/>
          <w:u w:color="000000"/>
          <w:bdr w:val="nil"/>
          <w:lang w:eastAsia="pt-BR"/>
        </w:rPr>
        <w:t xml:space="preserve"> contudo, é fato que versarão sobre palavras, temas que se relacionam, direta ou indiretamente, com a evasão nos cursos de Engenharia. </w:t>
      </w:r>
    </w:p>
    <w:p w14:paraId="27C4B792" w14:textId="42DB8672" w:rsidR="009F4371" w:rsidRPr="00A97345" w:rsidRDefault="009F4371" w:rsidP="009F4371">
      <w:pPr>
        <w:pBdr>
          <w:top w:val="nil"/>
          <w:left w:val="nil"/>
          <w:bottom w:val="nil"/>
          <w:right w:val="nil"/>
          <w:between w:val="nil"/>
          <w:bar w:val="nil"/>
        </w:pBdr>
        <w:tabs>
          <w:tab w:val="left" w:pos="709"/>
        </w:tabs>
        <w:spacing w:after="120"/>
        <w:ind w:left="2835" w:firstLine="426"/>
        <w:jc w:val="both"/>
        <w:rPr>
          <w:rFonts w:ascii="Calibri" w:eastAsia="Calibri" w:hAnsi="Calibri" w:cs="Calibri"/>
          <w:color w:val="FF0000"/>
          <w:u w:color="000000"/>
          <w:bdr w:val="nil"/>
          <w:lang w:eastAsia="pt-BR"/>
        </w:rPr>
      </w:pPr>
      <w:r w:rsidRPr="00A97345">
        <w:rPr>
          <w:rFonts w:ascii="Calibri" w:eastAsia="Calibri" w:hAnsi="Calibri" w:cs="Calibri"/>
          <w:color w:val="FF0000"/>
          <w:u w:color="000000"/>
          <w:bdr w:val="nil"/>
          <w:lang w:eastAsia="pt-BR"/>
        </w:rPr>
        <w:t xml:space="preserve">Na sequência, detalhamos nossa imersão no material escolhido para analisar, os artigos publicados nos anais do COBENGE, de 2000 a 2014. </w:t>
      </w:r>
    </w:p>
    <w:p w14:paraId="1B0CC07C" w14:textId="2294C988" w:rsidR="009A1C3E" w:rsidRPr="009A1C3E" w:rsidRDefault="009A1C3E" w:rsidP="000D52FB">
      <w:pPr>
        <w:pBdr>
          <w:top w:val="nil"/>
          <w:left w:val="nil"/>
          <w:bottom w:val="nil"/>
          <w:right w:val="nil"/>
          <w:between w:val="nil"/>
          <w:bar w:val="nil"/>
        </w:pBdr>
        <w:spacing w:before="480" w:after="240"/>
        <w:ind w:left="2835"/>
        <w:jc w:val="both"/>
        <w:rPr>
          <w:rFonts w:ascii="Calibri" w:eastAsia="Calibri" w:hAnsi="Calibri" w:cs="Calibri"/>
          <w:color w:val="000000"/>
          <w:u w:color="000000"/>
          <w:bdr w:val="nil"/>
          <w:lang w:val="pt-PT" w:eastAsia="pt-BR"/>
        </w:rPr>
      </w:pPr>
      <w:r w:rsidRPr="009A1C3E">
        <w:rPr>
          <w:rFonts w:ascii="Calibri" w:eastAsia="Calibri" w:hAnsi="Calibri" w:cs="Calibri"/>
          <w:b/>
          <w:bCs/>
          <w:color w:val="000000"/>
          <w:u w:color="000000"/>
          <w:bdr w:val="nil"/>
          <w:lang w:val="pt-PT" w:eastAsia="pt-BR"/>
        </w:rPr>
        <w:t xml:space="preserve">IMERSÃO E ANÁLISE DOS TRABALHOS APRESENTADOS NO COBENGE </w:t>
      </w:r>
    </w:p>
    <w:p w14:paraId="5341042D" w14:textId="681E35E3"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Nesta seção, apresentamos e analisamos os resultados da investigação dos trabalhos publicados nos anais do COBENGE, o qual, idealizado em 1973, constitui-se como o mais importante fórum de reflexão sobre educação em Engenharia no Brasil. Realizado anualmente no segundo semestre, pela ABENGE</w:t>
      </w:r>
      <w:r w:rsidR="00E60A0D">
        <w:rPr>
          <w:rFonts w:ascii="Calibri" w:eastAsia="Calibri" w:hAnsi="Calibri" w:cs="Calibri"/>
          <w:color w:val="000000"/>
          <w:u w:color="000000"/>
          <w:bdr w:val="nil"/>
          <w:lang w:val="pt-PT" w:eastAsia="pt-BR"/>
        </w:rPr>
        <w:t xml:space="preserve"> </w:t>
      </w:r>
      <w:r w:rsidR="00E60A0D" w:rsidRPr="00E60A0D">
        <w:rPr>
          <w:rFonts w:ascii="Calibri" w:eastAsia="Calibri" w:hAnsi="Calibri" w:cs="Calibri"/>
          <w:color w:val="FF0000"/>
          <w:u w:color="000000"/>
          <w:bdr w:val="nil"/>
          <w:lang w:val="pt-PT" w:eastAsia="pt-BR"/>
        </w:rPr>
        <w:t>(Associação Brasileira de Educação em Engenharia)</w:t>
      </w:r>
      <w:r w:rsidRPr="009A1C3E">
        <w:rPr>
          <w:rFonts w:ascii="Calibri" w:eastAsia="Calibri" w:hAnsi="Calibri" w:cs="Calibri"/>
          <w:color w:val="000000"/>
          <w:u w:color="000000"/>
          <w:bdr w:val="nil"/>
          <w:lang w:val="pt-PT" w:eastAsia="pt-BR"/>
        </w:rPr>
        <w:t xml:space="preserve">, que reúne órgãos oficiais e instituições de ensino ligadas ao setor, além de empresas e profissionais interessados na melhoria e no desenvolvimento da Engenharia Nacional. </w:t>
      </w:r>
    </w:p>
    <w:p w14:paraId="004A15DB" w14:textId="63917B94" w:rsid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Posto isso, a análise a seguir tem como intenção elaborar uma resposta para a questão geral que orienta o presente estudo: O que tem sido debatido sobre a temática da evasão no curso superior de Engenharia?</w:t>
      </w:r>
    </w:p>
    <w:p w14:paraId="35352E6D" w14:textId="4327D5BF" w:rsidR="009A1C3E" w:rsidRDefault="009A1C3E" w:rsidP="000D52FB">
      <w:pPr>
        <w:pBdr>
          <w:top w:val="nil"/>
          <w:left w:val="nil"/>
          <w:bottom w:val="nil"/>
          <w:right w:val="nil"/>
          <w:between w:val="nil"/>
          <w:bar w:val="nil"/>
        </w:pBdr>
        <w:tabs>
          <w:tab w:val="left" w:pos="709"/>
        </w:tabs>
        <w:suppressAutoHyphens/>
        <w:spacing w:before="480" w:after="240"/>
        <w:ind w:left="2835"/>
        <w:jc w:val="both"/>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Imersão nos trabalhos do COBENGE: olhando para evasão em Engenharia</w:t>
      </w:r>
    </w:p>
    <w:p w14:paraId="5442EA75"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B050"/>
          <w:bdr w:val="nil"/>
          <w:lang w:val="pt-PT" w:eastAsia="pt-BR"/>
        </w:rPr>
        <w:t>O período escolhido para análise do material apresentado no COBENGE (2000-2014)</w:t>
      </w:r>
      <w:r w:rsidRPr="009A1C3E">
        <w:rPr>
          <w:rFonts w:ascii="Calibri" w:eastAsia="Calibri" w:hAnsi="Calibri" w:cs="Calibri"/>
          <w:color w:val="000000"/>
          <w:u w:color="000000"/>
          <w:bdr w:val="nil"/>
          <w:lang w:val="pt-PT" w:eastAsia="pt-BR"/>
        </w:rPr>
        <w:t xml:space="preserve"> coincide com o início da expansão do Ensino Superior no Brasil, em virtude de investimentos políticos e econômicos que contribuíram para a democratização da educação nacional. </w:t>
      </w:r>
    </w:p>
    <w:p w14:paraId="26297115"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B050"/>
          <w:bdr w:val="nil"/>
          <w:lang w:val="pt-PT" w:eastAsia="pt-BR"/>
        </w:rPr>
      </w:pPr>
      <w:r w:rsidRPr="009A1C3E">
        <w:rPr>
          <w:rFonts w:ascii="Calibri" w:eastAsia="Calibri" w:hAnsi="Calibri" w:cs="Calibri"/>
          <w:color w:val="000000"/>
          <w:u w:color="00B050"/>
          <w:bdr w:val="nil"/>
          <w:lang w:val="pt-PT" w:eastAsia="pt-BR"/>
        </w:rPr>
        <w:t>Nesse recorte selecionado, foram apresentados 4.932 artigos, dentre os quais 259 estão relacionados, direta ou indiretamente, à temática de investigação deste trabalho. Esse número é resultado de diferentes buscas detalhadas a seguir.</w:t>
      </w:r>
    </w:p>
    <w:p w14:paraId="1EE3FFA8"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B050"/>
          <w:bdr w:val="nil"/>
          <w:lang w:val="pt-PT" w:eastAsia="pt-BR"/>
        </w:rPr>
      </w:pPr>
      <w:r w:rsidRPr="009A1C3E">
        <w:rPr>
          <w:rFonts w:ascii="Calibri" w:eastAsia="Calibri" w:hAnsi="Calibri" w:cs="Calibri"/>
          <w:color w:val="000000"/>
          <w:u w:color="00B050"/>
          <w:bdr w:val="nil"/>
          <w:lang w:val="pt-PT" w:eastAsia="pt-BR"/>
        </w:rPr>
        <w:t xml:space="preserve">Inicialmente, procuramos a palavra evasão nos títulos dos 4.932 artigos publicados nos anais do COBENGE e foram encontrados 52 trabalhos, cerca de 20% dos 259 artigos. Em seguida, o foco foram as palavras-chaves dos 4.932 artigos, pelo termo evasão: localizamos 24 trabalhos, cerca de 9,3% dos 259 artigos. Posteriormente, fizemos outra busca nos 4.932 artigos, procurando no título dos artigos palavras que se relacionavam com a evasão, tais como reprovação, retenção, fracasso escolar etc. Foram encontrados 46 trabalhos, cerca de 17,7% dos 259 artigos. Novamente, realizamos outra busca nos 4.932 artigos, nas palavras-chave dos artigos, para localizar termos relacionados com a evasão, conforme mencionado: foram encontrados 16 trabalhos, cerca de 6,2% dos 259 artigos. A quinta busca foi, novamente, nos títulos, observando se neles apareciam as disciplinas da área de Matemática. Nesta, foram encontrados 89 trabalhos, </w:t>
      </w:r>
      <w:r w:rsidRPr="009A1C3E">
        <w:rPr>
          <w:rFonts w:ascii="Calibri" w:eastAsia="Calibri" w:hAnsi="Calibri" w:cs="Calibri"/>
          <w:color w:val="000000"/>
          <w:u w:color="00B050"/>
          <w:bdr w:val="nil"/>
          <w:lang w:val="pt-PT" w:eastAsia="pt-BR"/>
        </w:rPr>
        <w:lastRenderedPageBreak/>
        <w:t xml:space="preserve">cerca de 34,3% dos 259 artigos. Por fim, a última busca nos 4.932 artigos focou os títulos com as expressões “Ensino de Engenharia, Ensino Superior, Avaliação e Ingresso”, por entender que poderiam apresentar relação com a temática de investigação. Nesta sexta e última busca, foram identificados 32 trabalhos, cerca de 12,5% dos 259 artigos. </w:t>
      </w:r>
    </w:p>
    <w:p w14:paraId="2BD39F62"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B050"/>
          <w:bdr w:val="nil"/>
          <w:lang w:val="pt-PT" w:eastAsia="pt-BR"/>
        </w:rPr>
        <w:t xml:space="preserve">Após a coleta dos dados, foram lidos os resumos dos 259 artigos selecionados e, quando não era suficiente, nestes e somente nestes casos, fizemos a leitura na íntegra do artigo. Tal estratégia reduziu a amostra inicial de 259 artigos para </w:t>
      </w:r>
      <w:r w:rsidRPr="009A1C3E">
        <w:rPr>
          <w:rFonts w:ascii="Calibri" w:eastAsia="Calibri" w:hAnsi="Calibri" w:cs="Calibri"/>
          <w:color w:val="000000"/>
          <w:u w:color="0070C0"/>
          <w:bdr w:val="nil"/>
          <w:lang w:val="pt-PT" w:eastAsia="pt-BR"/>
        </w:rPr>
        <w:t>119</w:t>
      </w:r>
      <w:r w:rsidRPr="009A1C3E">
        <w:rPr>
          <w:rFonts w:ascii="Calibri" w:eastAsia="Calibri" w:hAnsi="Calibri" w:cs="Calibri"/>
          <w:color w:val="000000"/>
          <w:u w:color="00B050"/>
          <w:bdr w:val="nil"/>
          <w:lang w:val="pt-PT" w:eastAsia="pt-BR"/>
        </w:rPr>
        <w:t xml:space="preserve"> artigos, pois, apesar de o artigo ter sido classificado como aderente, em uma das seis buscas, o resumo ou o corpo do texto não mostrava os resultados anunciados e que eram importantes para a análise.  </w:t>
      </w:r>
    </w:p>
    <w:p w14:paraId="709633C9"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70C0"/>
          <w:bdr w:val="nil"/>
          <w:lang w:val="pt-PT" w:eastAsia="pt-BR"/>
        </w:rPr>
      </w:pPr>
      <w:r w:rsidRPr="009A1C3E">
        <w:rPr>
          <w:rFonts w:ascii="Calibri" w:eastAsia="Calibri" w:hAnsi="Calibri" w:cs="Calibri"/>
          <w:color w:val="000000"/>
          <w:u w:color="0070C0"/>
          <w:bdr w:val="nil"/>
          <w:lang w:val="pt-PT" w:eastAsia="pt-BR"/>
        </w:rPr>
        <w:t xml:space="preserve">Sendo assim, dos 52 trabalhos selecionados na primeira busca, aproveitamos 100% deles; dos 24 trabalhos da segunda busca, cerca de 87,5%; dos 46 trabalhos da terceira busca, 35%; dos 16 trabalhos selecionados na quarta busca, 19%; dos 89 trabalhos da quinta busca, 22% dos artigos que discutiam especificamente sobre as disciplinas básicas faziam menção à evasão; e, por fim, dos 32 trabalhos selecionados na sexta busca, cerca de 22% dos artigos correspondiam à temática evasão. </w:t>
      </w:r>
    </w:p>
    <w:p w14:paraId="4D4DA745"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070C0"/>
          <w:bdr w:val="nil"/>
          <w:lang w:val="pt-PT" w:eastAsia="pt-BR"/>
        </w:rPr>
      </w:pPr>
      <w:r w:rsidRPr="009A1C3E">
        <w:rPr>
          <w:rFonts w:ascii="Calibri" w:eastAsia="Calibri" w:hAnsi="Calibri" w:cs="Calibri"/>
          <w:color w:val="000000"/>
          <w:u w:color="0070C0"/>
          <w:bdr w:val="nil"/>
          <w:lang w:val="pt-PT" w:eastAsia="pt-BR"/>
        </w:rPr>
        <w:t>Portanto, dos 4.932 trabalhos publicados nos anais do COBENGE, de 2000 a 2014, cerca de 2,4% apresentaram alguma discussão sobre evasão nos cursos de Engenharia.</w:t>
      </w:r>
    </w:p>
    <w:p w14:paraId="3716E8A5" w14:textId="77777777" w:rsidR="009A1C3E" w:rsidRPr="009A1C3E" w:rsidRDefault="009A1C3E" w:rsidP="000D52FB">
      <w:pPr>
        <w:pBdr>
          <w:top w:val="nil"/>
          <w:left w:val="nil"/>
          <w:bottom w:val="nil"/>
          <w:right w:val="nil"/>
          <w:between w:val="nil"/>
          <w:bar w:val="nil"/>
        </w:pBdr>
        <w:tabs>
          <w:tab w:val="left" w:pos="709"/>
        </w:tabs>
        <w:suppressAutoHyphens/>
        <w:spacing w:before="480" w:after="24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As categorias construídas e suas análises</w:t>
      </w:r>
    </w:p>
    <w:p w14:paraId="0D412795" w14:textId="47143380" w:rsidR="00E60A0D" w:rsidRDefault="00E60A0D" w:rsidP="00212B49">
      <w:pPr>
        <w:pBdr>
          <w:top w:val="nil"/>
          <w:left w:val="nil"/>
          <w:bottom w:val="nil"/>
          <w:right w:val="nil"/>
          <w:between w:val="nil"/>
          <w:bar w:val="nil"/>
        </w:pBdr>
        <w:tabs>
          <w:tab w:val="left" w:pos="709"/>
        </w:tabs>
        <w:suppressAutoHyphens/>
        <w:spacing w:after="120"/>
        <w:ind w:left="2835" w:firstLine="397"/>
        <w:jc w:val="both"/>
        <w:outlineLvl w:val="2"/>
        <w:rPr>
          <w:rFonts w:ascii="Calibri" w:eastAsia="Calibri" w:hAnsi="Calibri" w:cs="Calibri"/>
          <w:color w:val="FF0000"/>
          <w:u w:color="000000"/>
          <w:bdr w:val="nil"/>
          <w:lang w:val="pt-PT" w:eastAsia="pt-BR"/>
        </w:rPr>
      </w:pPr>
      <w:r>
        <w:rPr>
          <w:rFonts w:ascii="Calibri" w:eastAsia="Calibri" w:hAnsi="Calibri" w:cs="Calibri"/>
          <w:color w:val="FF0000"/>
          <w:u w:color="000000"/>
          <w:bdr w:val="nil"/>
          <w:lang w:val="pt-PT" w:eastAsia="pt-BR"/>
        </w:rPr>
        <w:t xml:space="preserve">As três categorias foram construídas a posteriori, emergiram </w:t>
      </w:r>
      <w:r w:rsidR="009A31F3">
        <w:rPr>
          <w:rFonts w:ascii="Calibri" w:eastAsia="Calibri" w:hAnsi="Calibri" w:cs="Calibri"/>
          <w:color w:val="FF0000"/>
          <w:u w:color="000000"/>
          <w:bdr w:val="nil"/>
          <w:lang w:val="pt-PT" w:eastAsia="pt-BR"/>
        </w:rPr>
        <w:t>da interpretação realizada após a</w:t>
      </w:r>
      <w:r w:rsidR="00212B49">
        <w:rPr>
          <w:rFonts w:ascii="Calibri" w:eastAsia="Calibri" w:hAnsi="Calibri" w:cs="Calibri"/>
          <w:color w:val="FF0000"/>
          <w:u w:color="000000"/>
          <w:bdr w:val="nil"/>
          <w:lang w:val="pt-PT" w:eastAsia="pt-BR"/>
        </w:rPr>
        <w:t>s</w:t>
      </w:r>
      <w:r w:rsidR="009A31F3">
        <w:rPr>
          <w:rFonts w:ascii="Calibri" w:eastAsia="Calibri" w:hAnsi="Calibri" w:cs="Calibri"/>
          <w:color w:val="FF0000"/>
          <w:u w:color="000000"/>
          <w:bdr w:val="nil"/>
          <w:lang w:val="pt-PT" w:eastAsia="pt-BR"/>
        </w:rPr>
        <w:t xml:space="preserve"> </w:t>
      </w:r>
      <w:r>
        <w:rPr>
          <w:rFonts w:ascii="Calibri" w:eastAsia="Calibri" w:hAnsi="Calibri" w:cs="Calibri"/>
          <w:color w:val="FF0000"/>
          <w:u w:color="000000"/>
          <w:bdr w:val="nil"/>
          <w:lang w:val="pt-PT" w:eastAsia="pt-BR"/>
        </w:rPr>
        <w:t>leitura</w:t>
      </w:r>
      <w:r w:rsidR="00212B49">
        <w:rPr>
          <w:rFonts w:ascii="Calibri" w:eastAsia="Calibri" w:hAnsi="Calibri" w:cs="Calibri"/>
          <w:color w:val="FF0000"/>
          <w:u w:color="000000"/>
          <w:bdr w:val="nil"/>
          <w:lang w:val="pt-PT" w:eastAsia="pt-BR"/>
        </w:rPr>
        <w:t>s</w:t>
      </w:r>
      <w:r>
        <w:rPr>
          <w:rFonts w:ascii="Calibri" w:eastAsia="Calibri" w:hAnsi="Calibri" w:cs="Calibri"/>
          <w:color w:val="FF0000"/>
          <w:u w:color="000000"/>
          <w:bdr w:val="nil"/>
          <w:lang w:val="pt-PT" w:eastAsia="pt-BR"/>
        </w:rPr>
        <w:t xml:space="preserve"> dos resumos e, quando necessária, dos textos completos</w:t>
      </w:r>
      <w:r w:rsidR="00212B49">
        <w:rPr>
          <w:rFonts w:ascii="Calibri" w:eastAsia="Calibri" w:hAnsi="Calibri" w:cs="Calibri"/>
          <w:color w:val="FF0000"/>
          <w:u w:color="000000"/>
          <w:bdr w:val="nil"/>
          <w:lang w:val="pt-PT" w:eastAsia="pt-BR"/>
        </w:rPr>
        <w:t xml:space="preserve"> dos 119 artigos. As categorias de análise que emergiram foram: </w:t>
      </w:r>
    </w:p>
    <w:p w14:paraId="4BFBCF71" w14:textId="77777777" w:rsidR="009A1C3E" w:rsidRPr="009A1C3E" w:rsidRDefault="009A1C3E" w:rsidP="009A1C3E">
      <w:pPr>
        <w:numPr>
          <w:ilvl w:val="0"/>
          <w:numId w:val="23"/>
        </w:numPr>
        <w:pBdr>
          <w:top w:val="nil"/>
          <w:left w:val="nil"/>
          <w:bottom w:val="nil"/>
          <w:right w:val="nil"/>
          <w:between w:val="nil"/>
          <w:bar w:val="nil"/>
        </w:pBdr>
        <w:spacing w:after="120"/>
        <w:jc w:val="both"/>
        <w:rPr>
          <w:rFonts w:ascii="Calibri" w:eastAsia="Calibri" w:hAnsi="Calibri" w:cs="Calibri"/>
          <w:color w:val="000000"/>
          <w:u w:color="0070C0"/>
          <w:bdr w:val="nil"/>
          <w:lang w:val="pt-PT" w:eastAsia="pt-BR"/>
        </w:rPr>
      </w:pPr>
      <w:r w:rsidRPr="009A1C3E">
        <w:rPr>
          <w:rFonts w:ascii="Calibri" w:eastAsia="Calibri" w:hAnsi="Calibri" w:cs="Calibri"/>
          <w:b/>
          <w:bCs/>
          <w:color w:val="000000"/>
          <w:u w:color="0070C0"/>
          <w:bdr w:val="nil"/>
          <w:lang w:val="pt-PT" w:eastAsia="pt-BR"/>
        </w:rPr>
        <w:t>Causas</w:t>
      </w:r>
      <w:r w:rsidRPr="009A1C3E">
        <w:rPr>
          <w:rFonts w:ascii="Calibri" w:eastAsia="Calibri" w:hAnsi="Calibri" w:cs="Calibri"/>
          <w:color w:val="000000"/>
          <w:u w:color="0070C0"/>
          <w:bdr w:val="nil"/>
          <w:lang w:val="pt-PT" w:eastAsia="pt-BR"/>
        </w:rPr>
        <w:t xml:space="preserve"> da evasão nos cursos de Engenharia;</w:t>
      </w:r>
    </w:p>
    <w:p w14:paraId="1652099B" w14:textId="77777777" w:rsidR="009A1C3E" w:rsidRPr="009A1C3E" w:rsidRDefault="009A1C3E" w:rsidP="009A1C3E">
      <w:pPr>
        <w:numPr>
          <w:ilvl w:val="0"/>
          <w:numId w:val="23"/>
        </w:numPr>
        <w:pBdr>
          <w:top w:val="nil"/>
          <w:left w:val="nil"/>
          <w:bottom w:val="nil"/>
          <w:right w:val="nil"/>
          <w:between w:val="nil"/>
          <w:bar w:val="nil"/>
        </w:pBdr>
        <w:spacing w:after="120"/>
        <w:jc w:val="both"/>
        <w:rPr>
          <w:rFonts w:ascii="Calibri" w:eastAsia="Calibri" w:hAnsi="Calibri" w:cs="Calibri"/>
          <w:color w:val="000000"/>
          <w:u w:color="0070C0"/>
          <w:bdr w:val="nil"/>
          <w:lang w:val="pt-PT" w:eastAsia="pt-BR"/>
        </w:rPr>
      </w:pPr>
      <w:r w:rsidRPr="009A1C3E">
        <w:rPr>
          <w:rFonts w:ascii="Calibri" w:eastAsia="Calibri" w:hAnsi="Calibri" w:cs="Calibri"/>
          <w:b/>
          <w:bCs/>
          <w:color w:val="000000"/>
          <w:u w:color="0070C0"/>
          <w:bdr w:val="nil"/>
          <w:lang w:val="pt-PT" w:eastAsia="pt-BR"/>
        </w:rPr>
        <w:t>Soluções</w:t>
      </w:r>
      <w:r w:rsidRPr="009A1C3E">
        <w:rPr>
          <w:rFonts w:ascii="Calibri" w:eastAsia="Calibri" w:hAnsi="Calibri" w:cs="Calibri"/>
          <w:color w:val="000000"/>
          <w:u w:color="0070C0"/>
          <w:bdr w:val="nil"/>
          <w:lang w:val="pt-PT" w:eastAsia="pt-BR"/>
        </w:rPr>
        <w:t xml:space="preserve"> encontradas ou sugeridas para controlar a evasão nos cursos de Engenharia;</w:t>
      </w:r>
    </w:p>
    <w:p w14:paraId="644733D5" w14:textId="77777777" w:rsidR="009A1C3E" w:rsidRPr="009A1C3E" w:rsidRDefault="009A1C3E" w:rsidP="009A1C3E">
      <w:pPr>
        <w:numPr>
          <w:ilvl w:val="0"/>
          <w:numId w:val="23"/>
        </w:numPr>
        <w:pBdr>
          <w:top w:val="nil"/>
          <w:left w:val="nil"/>
          <w:bottom w:val="nil"/>
          <w:right w:val="nil"/>
          <w:between w:val="nil"/>
          <w:bar w:val="nil"/>
        </w:pBdr>
        <w:spacing w:after="120"/>
        <w:jc w:val="both"/>
        <w:rPr>
          <w:rFonts w:ascii="Calibri" w:eastAsia="Calibri" w:hAnsi="Calibri" w:cs="Calibri"/>
          <w:color w:val="000000"/>
          <w:u w:color="0070C0"/>
          <w:bdr w:val="nil"/>
          <w:lang w:val="pt-PT" w:eastAsia="pt-BR"/>
        </w:rPr>
      </w:pPr>
      <w:r w:rsidRPr="009A1C3E">
        <w:rPr>
          <w:rFonts w:ascii="Calibri" w:eastAsia="Calibri" w:hAnsi="Calibri" w:cs="Calibri"/>
          <w:b/>
          <w:bCs/>
          <w:color w:val="000000"/>
          <w:u w:color="0070C0"/>
          <w:bdr w:val="nil"/>
          <w:lang w:val="pt-PT" w:eastAsia="pt-BR"/>
        </w:rPr>
        <w:t>Índices</w:t>
      </w:r>
      <w:r w:rsidRPr="009A1C3E">
        <w:rPr>
          <w:rFonts w:ascii="Calibri" w:eastAsia="Calibri" w:hAnsi="Calibri" w:cs="Calibri"/>
          <w:color w:val="000000"/>
          <w:u w:color="0070C0"/>
          <w:bdr w:val="nil"/>
          <w:vertAlign w:val="superscript"/>
          <w:lang w:val="pt-PT" w:eastAsia="pt-BR"/>
        </w:rPr>
        <w:footnoteReference w:id="1"/>
      </w:r>
      <w:r w:rsidRPr="009A1C3E">
        <w:rPr>
          <w:rFonts w:ascii="Calibri" w:eastAsia="Calibri" w:hAnsi="Calibri" w:cs="Calibri"/>
          <w:color w:val="000000"/>
          <w:u w:color="0070C0"/>
          <w:bdr w:val="nil"/>
          <w:lang w:val="pt-PT" w:eastAsia="pt-BR"/>
        </w:rPr>
        <w:t xml:space="preserve"> relativos à evasão nos cursos de Engenharia. </w:t>
      </w:r>
    </w:p>
    <w:p w14:paraId="1A9C58E2" w14:textId="75061A0E" w:rsid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432FF"/>
          <w:bdr w:val="nil"/>
          <w:lang w:val="pt-PT" w:eastAsia="pt-BR"/>
        </w:rPr>
      </w:pPr>
      <w:r w:rsidRPr="009A1C3E">
        <w:rPr>
          <w:rFonts w:ascii="Calibri" w:eastAsia="Calibri" w:hAnsi="Calibri" w:cs="Calibri"/>
          <w:color w:val="000000"/>
          <w:u w:color="0432FF"/>
          <w:bdr w:val="nil"/>
          <w:lang w:val="pt-PT" w:eastAsia="pt-BR"/>
        </w:rPr>
        <w:t xml:space="preserve">Dos 119 artigos selecionados, 18 contemplam as nossas três categorias; 31 contemplam as categorias causas e soluções; 12 contemplam as causas e os índices; 6 contemplam os índices e as soluções; 9 contemplam apenas as causas; 14 apenas as soluções; 6 contemplam apenas a categoria índices; e, por fim, 23 artigos foram </w:t>
      </w:r>
      <w:r w:rsidR="00212B49">
        <w:rPr>
          <w:rFonts w:ascii="Calibri" w:eastAsia="Calibri" w:hAnsi="Calibri" w:cs="Calibri"/>
          <w:color w:val="000000"/>
          <w:u w:color="0432FF"/>
          <w:bdr w:val="nil"/>
          <w:lang w:val="pt-PT" w:eastAsia="pt-BR"/>
        </w:rPr>
        <w:t>classificados na categoria outros</w:t>
      </w:r>
      <w:r w:rsidRPr="009A1C3E">
        <w:rPr>
          <w:rFonts w:ascii="Calibri" w:eastAsia="Calibri" w:hAnsi="Calibri" w:cs="Calibri"/>
          <w:color w:val="000000"/>
          <w:u w:color="0432FF"/>
          <w:bdr w:val="nil"/>
          <w:lang w:val="pt-PT" w:eastAsia="pt-BR"/>
        </w:rPr>
        <w:t xml:space="preserve">, por não contemplarem as categorias desejadas. </w:t>
      </w:r>
    </w:p>
    <w:p w14:paraId="062290C3" w14:textId="2F63C8B9" w:rsidR="008F001D" w:rsidRPr="008F001D" w:rsidRDefault="008F001D"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FF0000"/>
          <w:u w:color="0432FF"/>
          <w:bdr w:val="nil"/>
          <w:lang w:val="pt-PT" w:eastAsia="pt-BR"/>
        </w:rPr>
      </w:pPr>
      <w:r w:rsidRPr="008F001D">
        <w:rPr>
          <w:rFonts w:ascii="Calibri" w:eastAsia="Calibri" w:hAnsi="Calibri" w:cs="Calibri"/>
          <w:color w:val="FF0000"/>
          <w:u w:color="0432FF"/>
          <w:bdr w:val="nil"/>
          <w:lang w:val="pt-PT" w:eastAsia="pt-BR"/>
        </w:rPr>
        <w:t>Sendo assim</w:t>
      </w:r>
      <w:r>
        <w:rPr>
          <w:rFonts w:ascii="Calibri" w:eastAsia="Calibri" w:hAnsi="Calibri" w:cs="Calibri"/>
          <w:color w:val="FF0000"/>
          <w:u w:color="0432FF"/>
          <w:bdr w:val="nil"/>
          <w:lang w:val="pt-PT" w:eastAsia="pt-BR"/>
        </w:rPr>
        <w:t xml:space="preserve">, para realizarmos as análises associadas às categorias causa, solução e índice utilizamos, conforme mencionado no parágrafo anterior, respectivamente, 70 artigos, 69 artigos e 36 artigos. </w:t>
      </w:r>
      <w:r w:rsidRPr="008F001D">
        <w:rPr>
          <w:rFonts w:ascii="Calibri" w:eastAsia="Calibri" w:hAnsi="Calibri" w:cs="Calibri"/>
          <w:color w:val="FF0000"/>
          <w:u w:color="0432FF"/>
          <w:bdr w:val="nil"/>
          <w:lang w:val="pt-PT" w:eastAsia="pt-BR"/>
        </w:rPr>
        <w:t xml:space="preserve"> </w:t>
      </w:r>
    </w:p>
    <w:p w14:paraId="7B0A9C28" w14:textId="10C281AF" w:rsidR="009A1C3E" w:rsidRPr="009A1C3E" w:rsidRDefault="009A1C3E" w:rsidP="009A1C3E">
      <w:pPr>
        <w:pBdr>
          <w:top w:val="nil"/>
          <w:left w:val="nil"/>
          <w:bottom w:val="nil"/>
          <w:right w:val="nil"/>
          <w:between w:val="nil"/>
          <w:bar w:val="nil"/>
        </w:pBdr>
        <w:tabs>
          <w:tab w:val="left" w:pos="709"/>
        </w:tabs>
        <w:suppressAutoHyphens/>
        <w:spacing w:after="120"/>
        <w:ind w:left="2835" w:firstLine="397"/>
        <w:jc w:val="both"/>
        <w:rPr>
          <w:rFonts w:ascii="Calibri" w:eastAsia="Calibri" w:hAnsi="Calibri" w:cs="Calibri"/>
          <w:color w:val="000000"/>
          <w:u w:color="0432FF"/>
          <w:bdr w:val="nil"/>
          <w:lang w:val="pt-PT" w:eastAsia="pt-BR"/>
        </w:rPr>
      </w:pPr>
      <w:r w:rsidRPr="009A1C3E">
        <w:rPr>
          <w:rFonts w:ascii="Calibri" w:eastAsia="Calibri" w:hAnsi="Calibri" w:cs="Calibri"/>
          <w:color w:val="000000"/>
          <w:u w:color="0432FF"/>
          <w:bdr w:val="nil"/>
          <w:lang w:val="pt-PT" w:eastAsia="pt-BR"/>
        </w:rPr>
        <w:t xml:space="preserve">Cabe destacar que para cada categoria identificada, foram construídas subcategorias; e para cada subcategoria foram relacionadas </w:t>
      </w:r>
      <w:r w:rsidR="0028266C">
        <w:rPr>
          <w:rFonts w:ascii="Calibri" w:eastAsia="Calibri" w:hAnsi="Calibri" w:cs="Calibri"/>
          <w:color w:val="FF0000"/>
          <w:u w:color="0432FF"/>
          <w:bdr w:val="nil"/>
          <w:lang w:val="pt-PT" w:eastAsia="pt-BR"/>
        </w:rPr>
        <w:t>frases.</w:t>
      </w:r>
      <w:r w:rsidRPr="009A1C3E">
        <w:rPr>
          <w:rFonts w:ascii="Calibri" w:eastAsia="Calibri" w:hAnsi="Calibri" w:cs="Calibri"/>
          <w:color w:val="000000"/>
          <w:u w:color="0432FF"/>
          <w:bdr w:val="nil"/>
          <w:lang w:val="pt-PT" w:eastAsia="pt-BR"/>
        </w:rPr>
        <w:t xml:space="preserve"> </w:t>
      </w:r>
    </w:p>
    <w:p w14:paraId="6115A45D" w14:textId="77777777" w:rsidR="009A1C3E" w:rsidRPr="009A1C3E" w:rsidRDefault="009A1C3E" w:rsidP="009A1C3E">
      <w:pPr>
        <w:pBdr>
          <w:top w:val="nil"/>
          <w:left w:val="nil"/>
          <w:bottom w:val="nil"/>
          <w:right w:val="nil"/>
          <w:between w:val="nil"/>
          <w:bar w:val="nil"/>
        </w:pBdr>
        <w:tabs>
          <w:tab w:val="left" w:pos="709"/>
        </w:tabs>
        <w:suppressAutoHyphens/>
        <w:spacing w:after="12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lastRenderedPageBreak/>
        <w:t>Categoria: causa</w:t>
      </w:r>
    </w:p>
    <w:p w14:paraId="10DEF67C" w14:textId="57097C92" w:rsidR="008F001D" w:rsidRDefault="008F001D" w:rsidP="009A1C3E">
      <w:pPr>
        <w:pBdr>
          <w:top w:val="nil"/>
          <w:left w:val="nil"/>
          <w:bottom w:val="nil"/>
          <w:right w:val="nil"/>
          <w:between w:val="nil"/>
          <w:bar w:val="nil"/>
        </w:pBdr>
        <w:tabs>
          <w:tab w:val="left" w:pos="709"/>
        </w:tabs>
        <w:suppressAutoHyphens/>
        <w:spacing w:after="120"/>
        <w:ind w:left="2835" w:firstLine="397"/>
        <w:jc w:val="both"/>
        <w:outlineLvl w:val="2"/>
        <w:rPr>
          <w:rFonts w:ascii="Calibri" w:eastAsia="Calibri" w:hAnsi="Calibri" w:cs="Calibri"/>
          <w:color w:val="000000"/>
          <w:u w:color="000000"/>
          <w:bdr w:val="nil"/>
          <w:lang w:val="pt-PT" w:eastAsia="pt-BR"/>
        </w:rPr>
      </w:pPr>
      <w:r w:rsidRPr="00594938">
        <w:rPr>
          <w:rFonts w:ascii="Calibri" w:eastAsia="Calibri" w:hAnsi="Calibri" w:cs="Calibri"/>
          <w:color w:val="FF0000"/>
          <w:u w:color="000000"/>
          <w:bdr w:val="nil"/>
          <w:lang w:val="pt-PT" w:eastAsia="pt-BR"/>
        </w:rPr>
        <w:t xml:space="preserve">Após a leitura dos 70 </w:t>
      </w:r>
      <w:r w:rsidR="00594938" w:rsidRPr="00594938">
        <w:rPr>
          <w:rFonts w:ascii="Calibri" w:eastAsia="Calibri" w:hAnsi="Calibri" w:cs="Calibri"/>
          <w:color w:val="FF0000"/>
          <w:u w:color="000000"/>
          <w:bdr w:val="nil"/>
          <w:lang w:val="pt-PT" w:eastAsia="pt-BR"/>
        </w:rPr>
        <w:t>resumos (e quando necessário dos textos completos) dos artigos, as subcategorias que emergiram foram as seguintes: acadêmico-administrativa, financeira, pedagógica, pessoal e profissional</w:t>
      </w:r>
      <w:r w:rsidR="00594938">
        <w:rPr>
          <w:rFonts w:ascii="Calibri" w:eastAsia="Calibri" w:hAnsi="Calibri" w:cs="Calibri"/>
          <w:color w:val="FF0000"/>
          <w:u w:color="000000"/>
          <w:bdr w:val="nil"/>
          <w:lang w:val="pt-PT" w:eastAsia="pt-BR"/>
        </w:rPr>
        <w:t>, conforme apresentado na Tabela 1.</w:t>
      </w:r>
      <w:r w:rsidR="00594938">
        <w:rPr>
          <w:rFonts w:ascii="Calibri" w:eastAsia="Calibri" w:hAnsi="Calibri" w:cs="Calibri"/>
          <w:color w:val="000000"/>
          <w:u w:color="000000"/>
          <w:bdr w:val="nil"/>
          <w:lang w:val="pt-PT" w:eastAsia="pt-BR"/>
        </w:rPr>
        <w:t xml:space="preserve">    </w:t>
      </w:r>
    </w:p>
    <w:p w14:paraId="7FCCFD84" w14:textId="3F7725B4" w:rsidR="009A1C3E" w:rsidRPr="009A1C3E" w:rsidRDefault="009A1C3E" w:rsidP="000D52FB">
      <w:pPr>
        <w:pBdr>
          <w:top w:val="nil"/>
          <w:left w:val="nil"/>
          <w:bottom w:val="nil"/>
          <w:right w:val="nil"/>
          <w:between w:val="nil"/>
          <w:bar w:val="nil"/>
        </w:pBdr>
        <w:suppressAutoHyphens/>
        <w:ind w:left="2835"/>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Tabela 1 – Subcategorias da categoria causa</w:t>
      </w:r>
      <w:r w:rsidRPr="009A1C3E">
        <w:rPr>
          <w:rFonts w:ascii="Calibri" w:eastAsia="Calibri" w:hAnsi="Calibri" w:cs="Calibri"/>
          <w:bCs/>
          <w:color w:val="000000"/>
          <w:sz w:val="20"/>
          <w:szCs w:val="20"/>
          <w:u w:color="000000"/>
          <w:bdr w:val="nil"/>
          <w:lang w:val="pt-PT" w:eastAsia="pt-BR"/>
        </w:rPr>
        <w:br/>
      </w:r>
    </w:p>
    <w:tbl>
      <w:tblPr>
        <w:tblStyle w:val="TableNormal"/>
        <w:tblW w:w="4112" w:type="dxa"/>
        <w:tblInd w:w="43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410"/>
        <w:gridCol w:w="1702"/>
      </w:tblGrid>
      <w:tr w:rsidR="009A1C3E" w:rsidRPr="009A1C3E" w14:paraId="72E56CAF" w14:textId="77777777" w:rsidTr="000D52FB">
        <w:trPr>
          <w:trHeight w:val="460"/>
          <w:tblHeader/>
        </w:trPr>
        <w:tc>
          <w:tcPr>
            <w:tcW w:w="2410" w:type="dxa"/>
            <w:tcBorders>
              <w:top w:val="single" w:sz="8" w:space="0" w:color="000000"/>
              <w:left w:val="nil"/>
              <w:bottom w:val="single" w:sz="8" w:space="0" w:color="000000"/>
              <w:right w:val="single" w:sz="4" w:space="0" w:color="000000"/>
            </w:tcBorders>
            <w:shd w:val="clear" w:color="auto" w:fill="auto"/>
            <w:tcMar>
              <w:top w:w="80" w:type="dxa"/>
              <w:left w:w="80" w:type="dxa"/>
              <w:bottom w:w="80" w:type="dxa"/>
              <w:right w:w="80" w:type="dxa"/>
            </w:tcMar>
            <w:vAlign w:val="center"/>
          </w:tcPr>
          <w:p w14:paraId="7626A3D1"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b/>
                <w:bCs/>
                <w:color w:val="000000"/>
                <w:u w:color="000000"/>
                <w:lang w:val="pt-PT"/>
              </w:rPr>
              <w:t>Subcategoria</w:t>
            </w:r>
          </w:p>
        </w:tc>
        <w:tc>
          <w:tcPr>
            <w:tcW w:w="1702" w:type="dxa"/>
            <w:tcBorders>
              <w:top w:val="single" w:sz="8" w:space="0" w:color="000000"/>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4367744C"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b/>
                <w:bCs/>
                <w:color w:val="000000"/>
                <w:u w:color="000000"/>
                <w:lang w:val="pt-PT"/>
              </w:rPr>
              <w:t>Porcentagem (%)</w:t>
            </w:r>
          </w:p>
        </w:tc>
      </w:tr>
      <w:tr w:rsidR="009A1C3E" w:rsidRPr="009A1C3E" w14:paraId="6D49F942" w14:textId="77777777" w:rsidTr="000D52FB">
        <w:tblPrEx>
          <w:shd w:val="clear" w:color="auto" w:fill="CDD4E9"/>
        </w:tblPrEx>
        <w:trPr>
          <w:trHeight w:val="314"/>
        </w:trPr>
        <w:tc>
          <w:tcPr>
            <w:tcW w:w="2410" w:type="dxa"/>
            <w:tcBorders>
              <w:top w:val="single" w:sz="8" w:space="0" w:color="000000"/>
              <w:left w:val="nil"/>
              <w:bottom w:val="nil"/>
              <w:right w:val="single" w:sz="4" w:space="0" w:color="000000"/>
            </w:tcBorders>
            <w:shd w:val="clear" w:color="auto" w:fill="auto"/>
            <w:tcMar>
              <w:top w:w="80" w:type="dxa"/>
              <w:left w:w="80" w:type="dxa"/>
              <w:bottom w:w="80" w:type="dxa"/>
              <w:right w:w="80" w:type="dxa"/>
            </w:tcMar>
            <w:vAlign w:val="center"/>
          </w:tcPr>
          <w:p w14:paraId="6687770C"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Pedagógica</w:t>
            </w:r>
          </w:p>
        </w:tc>
        <w:tc>
          <w:tcPr>
            <w:tcW w:w="1702"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75EF02C3"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55,0</w:t>
            </w:r>
          </w:p>
        </w:tc>
      </w:tr>
      <w:tr w:rsidR="009A1C3E" w:rsidRPr="009A1C3E" w14:paraId="02DE474D" w14:textId="77777777" w:rsidTr="000D52FB">
        <w:tblPrEx>
          <w:shd w:val="clear" w:color="auto" w:fill="CDD4E9"/>
        </w:tblPrEx>
        <w:trPr>
          <w:trHeight w:val="240"/>
        </w:trPr>
        <w:tc>
          <w:tcPr>
            <w:tcW w:w="241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9EC5415"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Pessoal</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A629441"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22,5</w:t>
            </w:r>
          </w:p>
        </w:tc>
      </w:tr>
      <w:tr w:rsidR="009A1C3E" w:rsidRPr="009A1C3E" w14:paraId="75637552" w14:textId="77777777" w:rsidTr="000D52FB">
        <w:tblPrEx>
          <w:shd w:val="clear" w:color="auto" w:fill="CDD4E9"/>
        </w:tblPrEx>
        <w:trPr>
          <w:trHeight w:val="460"/>
        </w:trPr>
        <w:tc>
          <w:tcPr>
            <w:tcW w:w="241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2462059A"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Acadêmico-administrativa</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F7DBA5D"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11,0</w:t>
            </w:r>
          </w:p>
        </w:tc>
      </w:tr>
      <w:tr w:rsidR="009A1C3E" w:rsidRPr="009A1C3E" w14:paraId="30D55B25" w14:textId="77777777" w:rsidTr="000D52FB">
        <w:tblPrEx>
          <w:shd w:val="clear" w:color="auto" w:fill="CDD4E9"/>
        </w:tblPrEx>
        <w:trPr>
          <w:trHeight w:val="240"/>
        </w:trPr>
        <w:tc>
          <w:tcPr>
            <w:tcW w:w="241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0398CE71"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Profissional</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8347E13"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6,5</w:t>
            </w:r>
          </w:p>
        </w:tc>
      </w:tr>
      <w:tr w:rsidR="009A1C3E" w:rsidRPr="009A1C3E" w14:paraId="66874737" w14:textId="77777777" w:rsidTr="000D52FB">
        <w:tblPrEx>
          <w:shd w:val="clear" w:color="auto" w:fill="CDD4E9"/>
        </w:tblPrEx>
        <w:trPr>
          <w:trHeight w:val="240"/>
        </w:trPr>
        <w:tc>
          <w:tcPr>
            <w:tcW w:w="241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041675C8"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Financeira</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CB13D3D"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5,0</w:t>
            </w:r>
          </w:p>
        </w:tc>
      </w:tr>
      <w:tr w:rsidR="009A1C3E" w:rsidRPr="009A1C3E" w14:paraId="0ABE1FAF" w14:textId="77777777" w:rsidTr="000D52FB">
        <w:tblPrEx>
          <w:shd w:val="clear" w:color="auto" w:fill="CDD4E9"/>
        </w:tblPrEx>
        <w:trPr>
          <w:trHeight w:val="240"/>
        </w:trPr>
        <w:tc>
          <w:tcPr>
            <w:tcW w:w="2410" w:type="dxa"/>
            <w:tcBorders>
              <w:top w:val="nil"/>
              <w:left w:val="nil"/>
              <w:bottom w:val="single" w:sz="8" w:space="0" w:color="000000"/>
              <w:right w:val="single" w:sz="4" w:space="0" w:color="000000"/>
            </w:tcBorders>
            <w:shd w:val="clear" w:color="auto" w:fill="auto"/>
            <w:tcMar>
              <w:top w:w="80" w:type="dxa"/>
              <w:left w:w="80" w:type="dxa"/>
              <w:bottom w:w="80" w:type="dxa"/>
              <w:right w:w="80" w:type="dxa"/>
            </w:tcMar>
            <w:vAlign w:val="center"/>
          </w:tcPr>
          <w:p w14:paraId="6EC40522"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TOTAL</w:t>
            </w:r>
          </w:p>
        </w:tc>
        <w:tc>
          <w:tcPr>
            <w:tcW w:w="1702" w:type="dxa"/>
            <w:tcBorders>
              <w:top w:val="nil"/>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7105E8BA" w14:textId="77777777" w:rsidR="009A1C3E" w:rsidRPr="009A1C3E" w:rsidRDefault="009A1C3E" w:rsidP="00245306">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100,0</w:t>
            </w:r>
          </w:p>
        </w:tc>
      </w:tr>
    </w:tbl>
    <w:p w14:paraId="2D872904" w14:textId="524315DE" w:rsidR="009A1C3E" w:rsidRPr="009A1C3E" w:rsidRDefault="009A1C3E" w:rsidP="009A1C3E">
      <w:pPr>
        <w:widowControl w:val="0"/>
        <w:pBdr>
          <w:top w:val="nil"/>
          <w:left w:val="nil"/>
          <w:bottom w:val="nil"/>
          <w:right w:val="nil"/>
          <w:between w:val="nil"/>
          <w:bar w:val="nil"/>
        </w:pBdr>
        <w:suppressAutoHyphens/>
        <w:spacing w:after="120" w:line="360" w:lineRule="auto"/>
        <w:ind w:left="2835" w:hanging="57"/>
        <w:rPr>
          <w:rFonts w:ascii="Calibri" w:eastAsia="Calibri" w:hAnsi="Calibri" w:cs="Calibri"/>
          <w:color w:val="000000"/>
          <w:sz w:val="20"/>
          <w:szCs w:val="20"/>
          <w:u w:color="000000"/>
          <w:bdr w:val="nil"/>
          <w:lang w:val="pt-PT" w:eastAsia="pt-BR"/>
        </w:rPr>
      </w:pPr>
      <w:r>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Fonte: Elaboração dos autores.</w:t>
      </w:r>
    </w:p>
    <w:p w14:paraId="353D4676" w14:textId="100DF0A1"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Para cada uma dessas cinco subcategorias foi construída uma tabela com os resultados encontrados, exceto as subcategorias financeira e profissional, por não aparecer mais de uma </w:t>
      </w:r>
      <w:r w:rsidR="009D6CF4" w:rsidRPr="009D6CF4">
        <w:rPr>
          <w:rFonts w:ascii="Calibri" w:eastAsia="Calibri" w:hAnsi="Calibri" w:cs="Calibri"/>
          <w:color w:val="FF0000"/>
          <w:u w:color="000000"/>
          <w:bdr w:val="nil"/>
          <w:lang w:val="pt-PT" w:eastAsia="pt-BR"/>
        </w:rPr>
        <w:t>frase.</w:t>
      </w:r>
      <w:r w:rsidRPr="009A1C3E">
        <w:rPr>
          <w:rFonts w:ascii="Calibri" w:eastAsia="Calibri" w:hAnsi="Calibri" w:cs="Calibri"/>
          <w:color w:val="000000"/>
          <w:u w:color="000000"/>
          <w:bdr w:val="nil"/>
          <w:lang w:val="pt-PT" w:eastAsia="pt-BR"/>
        </w:rPr>
        <w:t xml:space="preserve"> </w:t>
      </w:r>
    </w:p>
    <w:p w14:paraId="0AC4E5B3" w14:textId="36763450" w:rsidR="009A1C3E" w:rsidRPr="009A1C3E" w:rsidRDefault="009A1C3E" w:rsidP="00A97345">
      <w:pPr>
        <w:pBdr>
          <w:top w:val="nil"/>
          <w:left w:val="nil"/>
          <w:bottom w:val="nil"/>
          <w:right w:val="nil"/>
          <w:between w:val="nil"/>
          <w:bar w:val="nil"/>
        </w:pBdr>
        <w:suppressAutoHyphens/>
        <w:spacing w:after="120"/>
        <w:ind w:left="2835" w:firstLine="426"/>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Na Tabela 1, a subcategoria pedagógica foi a que mais se destacou, com 55% das </w:t>
      </w:r>
      <w:r w:rsidR="009D6CF4">
        <w:rPr>
          <w:rFonts w:ascii="Calibri" w:eastAsia="Calibri" w:hAnsi="Calibri" w:cs="Calibri"/>
          <w:color w:val="FF0000"/>
          <w:u w:color="FF0000"/>
          <w:bdr w:val="nil"/>
          <w:lang w:val="pt-PT" w:eastAsia="pt-BR"/>
        </w:rPr>
        <w:t>frases</w:t>
      </w:r>
      <w:r w:rsidRPr="009A1C3E">
        <w:rPr>
          <w:rFonts w:ascii="Calibri" w:eastAsia="Calibri" w:hAnsi="Calibri" w:cs="Calibri"/>
          <w:color w:val="000000"/>
          <w:u w:color="FF0000"/>
          <w:bdr w:val="nil"/>
          <w:lang w:val="pt-PT" w:eastAsia="pt-BR"/>
        </w:rPr>
        <w:t xml:space="preserve"> classificadas nos artigos analisados. </w:t>
      </w:r>
    </w:p>
    <w:p w14:paraId="3EACCCC8" w14:textId="1C6BCD4C" w:rsidR="009A1C3E" w:rsidRPr="00594938" w:rsidRDefault="009A1C3E" w:rsidP="00A97345">
      <w:pPr>
        <w:pBdr>
          <w:top w:val="nil"/>
          <w:left w:val="nil"/>
          <w:bottom w:val="nil"/>
          <w:right w:val="nil"/>
          <w:between w:val="nil"/>
          <w:bar w:val="nil"/>
        </w:pBdr>
        <w:tabs>
          <w:tab w:val="left" w:pos="709"/>
        </w:tabs>
        <w:suppressAutoHyphens/>
        <w:spacing w:after="120"/>
        <w:ind w:left="2835" w:firstLine="426"/>
        <w:jc w:val="both"/>
        <w:rPr>
          <w:rFonts w:ascii="Calibri" w:eastAsia="Calibri" w:hAnsi="Calibri" w:cs="Calibri"/>
          <w:color w:val="FF0000"/>
          <w:u w:color="FF0000"/>
          <w:bdr w:val="nil"/>
          <w:lang w:val="pt-PT" w:eastAsia="pt-BR"/>
        </w:rPr>
      </w:pPr>
      <w:r w:rsidRPr="009A1C3E">
        <w:rPr>
          <w:rFonts w:ascii="Calibri" w:eastAsia="Calibri" w:hAnsi="Calibri" w:cs="Calibri"/>
          <w:color w:val="000000"/>
          <w:u w:color="FF0000"/>
          <w:bdr w:val="nil"/>
          <w:lang w:val="pt-PT" w:eastAsia="pt-BR"/>
        </w:rPr>
        <w:t xml:space="preserve">Na sequência são construídas tabelas que associam a cada uma das subcategorias da categoria causa as </w:t>
      </w:r>
      <w:r w:rsidR="009D6CF4">
        <w:rPr>
          <w:rFonts w:ascii="Calibri" w:eastAsia="Calibri" w:hAnsi="Calibri" w:cs="Calibri"/>
          <w:color w:val="FF0000"/>
          <w:u w:color="FF0000"/>
          <w:bdr w:val="nil"/>
          <w:lang w:val="pt-PT" w:eastAsia="pt-BR"/>
        </w:rPr>
        <w:t>frases</w:t>
      </w:r>
      <w:r w:rsidRPr="009A1C3E">
        <w:rPr>
          <w:rFonts w:ascii="Calibri" w:eastAsia="Calibri" w:hAnsi="Calibri" w:cs="Calibri"/>
          <w:color w:val="000000"/>
          <w:u w:color="FF0000"/>
          <w:bdr w:val="nil"/>
          <w:lang w:val="pt-PT" w:eastAsia="pt-BR"/>
        </w:rPr>
        <w:t xml:space="preserve"> destacadas na leitura dos artigos selecionados. </w:t>
      </w:r>
      <w:r w:rsidR="00594938">
        <w:rPr>
          <w:rFonts w:ascii="Calibri" w:eastAsia="Calibri" w:hAnsi="Calibri" w:cs="Calibri"/>
          <w:color w:val="FF0000"/>
          <w:u w:color="FF0000"/>
          <w:bdr w:val="nil"/>
          <w:lang w:val="pt-PT" w:eastAsia="pt-BR"/>
        </w:rPr>
        <w:t xml:space="preserve">É importante mencionar que os percentuais </w:t>
      </w:r>
      <w:r w:rsidR="00381758">
        <w:rPr>
          <w:rFonts w:ascii="Calibri" w:eastAsia="Calibri" w:hAnsi="Calibri" w:cs="Calibri"/>
          <w:color w:val="FF0000"/>
          <w:u w:color="FF0000"/>
          <w:bdr w:val="nil"/>
          <w:lang w:val="pt-PT" w:eastAsia="pt-BR"/>
        </w:rPr>
        <w:t xml:space="preserve">associados às frases </w:t>
      </w:r>
      <w:r w:rsidR="00594938">
        <w:rPr>
          <w:rFonts w:ascii="Calibri" w:eastAsia="Calibri" w:hAnsi="Calibri" w:cs="Calibri"/>
          <w:color w:val="FF0000"/>
          <w:u w:color="FF0000"/>
          <w:bdr w:val="nil"/>
          <w:lang w:val="pt-PT" w:eastAsia="pt-BR"/>
        </w:rPr>
        <w:t xml:space="preserve">que aparecem nas Tabelas 2, 3 e 4 </w:t>
      </w:r>
      <w:r w:rsidR="00381758">
        <w:rPr>
          <w:rFonts w:ascii="Calibri" w:eastAsia="Calibri" w:hAnsi="Calibri" w:cs="Calibri"/>
          <w:color w:val="FF0000"/>
          <w:u w:color="FF0000"/>
          <w:bdr w:val="nil"/>
          <w:lang w:val="pt-PT" w:eastAsia="pt-BR"/>
        </w:rPr>
        <w:t xml:space="preserve">referem-se aos totais de artigos classificados, respectivamente, nas subcategorias acadêmico-administrativa, pedagógica e pessoal. </w:t>
      </w:r>
    </w:p>
    <w:p w14:paraId="0638FCCF" w14:textId="5315D848" w:rsidR="009A1C3E" w:rsidRDefault="009A1C3E" w:rsidP="00A97345">
      <w:pPr>
        <w:pBdr>
          <w:top w:val="nil"/>
          <w:left w:val="nil"/>
          <w:bottom w:val="nil"/>
          <w:right w:val="nil"/>
          <w:between w:val="nil"/>
          <w:bar w:val="nil"/>
        </w:pBdr>
        <w:suppressAutoHyphens/>
        <w:spacing w:after="120"/>
        <w:ind w:left="2835" w:firstLine="426"/>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As </w:t>
      </w:r>
      <w:r w:rsidR="009D6CF4">
        <w:rPr>
          <w:rFonts w:ascii="Calibri" w:eastAsia="Calibri" w:hAnsi="Calibri" w:cs="Calibri"/>
          <w:color w:val="FF0000"/>
          <w:u w:color="FF0000"/>
          <w:bdr w:val="nil"/>
          <w:lang w:val="pt-PT" w:eastAsia="pt-BR"/>
        </w:rPr>
        <w:t>frases</w:t>
      </w:r>
      <w:r w:rsidR="00212B49" w:rsidRPr="009A1C3E">
        <w:rPr>
          <w:rFonts w:ascii="Calibri" w:eastAsia="Calibri" w:hAnsi="Calibri" w:cs="Calibri"/>
          <w:color w:val="000000"/>
          <w:u w:color="000000"/>
          <w:bdr w:val="nil"/>
          <w:lang w:val="pt-PT" w:eastAsia="pt-BR"/>
        </w:rPr>
        <w:t xml:space="preserve"> </w:t>
      </w:r>
      <w:r w:rsidRPr="009A1C3E">
        <w:rPr>
          <w:rFonts w:ascii="Calibri" w:eastAsia="Calibri" w:hAnsi="Calibri" w:cs="Calibri"/>
          <w:color w:val="000000"/>
          <w:u w:color="000000"/>
          <w:bdr w:val="nil"/>
          <w:lang w:val="pt-PT" w:eastAsia="pt-BR"/>
        </w:rPr>
        <w:t>na subcategoria acadêmico-administrativa que apareceram com mais frequência foram: falta de infraestrutura institucional (37%) e falta de acompanhamento acadêmico (21%) (Tabela 2).</w:t>
      </w:r>
    </w:p>
    <w:p w14:paraId="5347571B" w14:textId="06F32E7A" w:rsidR="009A1C3E" w:rsidRPr="009A1C3E" w:rsidRDefault="009A1C3E" w:rsidP="00ED6775">
      <w:pPr>
        <w:pBdr>
          <w:top w:val="nil"/>
          <w:left w:val="nil"/>
          <w:bottom w:val="nil"/>
          <w:right w:val="nil"/>
          <w:between w:val="nil"/>
          <w:bar w:val="nil"/>
        </w:pBdr>
        <w:suppressAutoHyphens/>
        <w:spacing w:before="40" w:after="240"/>
        <w:ind w:left="2835"/>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 xml:space="preserve">Tabela 2 – </w:t>
      </w:r>
      <w:r w:rsidR="009D6CF4" w:rsidRPr="009D6CF4">
        <w:rPr>
          <w:rFonts w:ascii="Calibri" w:eastAsia="Calibri" w:hAnsi="Calibri" w:cs="Calibri"/>
          <w:bCs/>
          <w:color w:val="FF0000"/>
          <w:sz w:val="20"/>
          <w:szCs w:val="20"/>
          <w:u w:color="000000"/>
          <w:bdr w:val="nil"/>
          <w:lang w:val="pt-PT" w:eastAsia="pt-BR"/>
        </w:rPr>
        <w:t>Frases</w:t>
      </w:r>
      <w:r w:rsidRPr="009A1C3E">
        <w:rPr>
          <w:rFonts w:ascii="Calibri" w:eastAsia="Calibri" w:hAnsi="Calibri" w:cs="Calibri"/>
          <w:bCs/>
          <w:color w:val="000000"/>
          <w:sz w:val="20"/>
          <w:szCs w:val="20"/>
          <w:u w:color="000000"/>
          <w:bdr w:val="nil"/>
          <w:lang w:val="pt-PT" w:eastAsia="pt-BR"/>
        </w:rPr>
        <w:t xml:space="preserve"> associadas à subcategoria acadêmico-administrativa</w:t>
      </w:r>
    </w:p>
    <w:tbl>
      <w:tblPr>
        <w:tblStyle w:val="TableNormal"/>
        <w:tblW w:w="5387" w:type="dxa"/>
        <w:tblInd w:w="39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1701"/>
      </w:tblGrid>
      <w:tr w:rsidR="009A1C3E" w:rsidRPr="009A1C3E" w14:paraId="0624CCF0" w14:textId="77777777" w:rsidTr="000D52FB">
        <w:trPr>
          <w:trHeight w:val="267"/>
        </w:trPr>
        <w:tc>
          <w:tcPr>
            <w:tcW w:w="36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2E592B4" w14:textId="0E31CB7F" w:rsidR="009A1C3E" w:rsidRPr="009A1C3E" w:rsidRDefault="009D6CF4" w:rsidP="00F85E9B">
            <w:pPr>
              <w:suppressAutoHyphens/>
              <w:jc w:val="center"/>
              <w:rPr>
                <w:rFonts w:ascii="Helvetica" w:hAnsi="Helvetica" w:cs="Arial Unicode MS"/>
                <w:color w:val="000000"/>
                <w:u w:color="000000"/>
                <w:lang w:val="pt-PT"/>
              </w:rPr>
            </w:pPr>
            <w:r>
              <w:rPr>
                <w:rFonts w:ascii="Calibri" w:eastAsia="Calibri" w:hAnsi="Calibri" w:cs="Calibri"/>
                <w:b/>
                <w:bCs/>
                <w:color w:val="FF0000"/>
                <w:u w:color="000000"/>
                <w:lang w:val="pt-PT"/>
              </w:rPr>
              <w:t>Frases</w:t>
            </w:r>
          </w:p>
        </w:tc>
        <w:tc>
          <w:tcPr>
            <w:tcW w:w="17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C39F2CE" w14:textId="5ACF9ECB"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b/>
                <w:bCs/>
                <w:color w:val="000000"/>
                <w:u w:color="000000"/>
                <w:lang w:val="pt-PT"/>
              </w:rPr>
              <w:t>Porcentagem (%)</w:t>
            </w:r>
          </w:p>
        </w:tc>
      </w:tr>
      <w:tr w:rsidR="009A1C3E" w:rsidRPr="009A1C3E" w14:paraId="76F9AD3A" w14:textId="77777777" w:rsidTr="000D52FB">
        <w:trPr>
          <w:trHeight w:val="235"/>
        </w:trPr>
        <w:tc>
          <w:tcPr>
            <w:tcW w:w="3686"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bottom"/>
          </w:tcPr>
          <w:p w14:paraId="4CD6CFA7"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Falta de infraestrutura institucional</w:t>
            </w:r>
          </w:p>
        </w:tc>
        <w:tc>
          <w:tcPr>
            <w:tcW w:w="1701"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67E929E9" w14:textId="287CD36C"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37</w:t>
            </w:r>
            <w:r w:rsidR="00F85E9B">
              <w:rPr>
                <w:rFonts w:ascii="Calibri" w:eastAsia="Calibri" w:hAnsi="Calibri" w:cs="Calibri"/>
                <w:color w:val="000000"/>
                <w:u w:color="000000"/>
                <w:lang w:val="pt-PT"/>
              </w:rPr>
              <w:t>,0</w:t>
            </w:r>
          </w:p>
        </w:tc>
      </w:tr>
      <w:tr w:rsidR="009A1C3E" w:rsidRPr="009A1C3E" w14:paraId="5B921529" w14:textId="77777777" w:rsidTr="000D52FB">
        <w:trPr>
          <w:trHeight w:val="134"/>
        </w:trPr>
        <w:tc>
          <w:tcPr>
            <w:tcW w:w="3686"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63778540"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Falta de acompanhamento acadêmico</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B3FD9C3" w14:textId="6CF9E94A"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21</w:t>
            </w:r>
            <w:r w:rsidR="00F85E9B">
              <w:rPr>
                <w:rFonts w:ascii="Calibri" w:eastAsia="Calibri" w:hAnsi="Calibri" w:cs="Calibri"/>
                <w:color w:val="000000"/>
                <w:u w:color="000000"/>
                <w:lang w:val="pt-PT"/>
              </w:rPr>
              <w:t>,0</w:t>
            </w:r>
          </w:p>
        </w:tc>
      </w:tr>
      <w:tr w:rsidR="009A1C3E" w:rsidRPr="009A1C3E" w14:paraId="67EFB0DB" w14:textId="77777777" w:rsidTr="000D52FB">
        <w:trPr>
          <w:trHeight w:val="167"/>
        </w:trPr>
        <w:tc>
          <w:tcPr>
            <w:tcW w:w="3686"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0E42A189"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Greve de docentes</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D3BBDDE" w14:textId="05E0B5D3"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16</w:t>
            </w:r>
            <w:r w:rsidR="00F85E9B">
              <w:rPr>
                <w:rFonts w:ascii="Calibri" w:eastAsia="Calibri" w:hAnsi="Calibri" w:cs="Calibri"/>
                <w:color w:val="000000"/>
                <w:u w:color="000000"/>
                <w:lang w:val="pt-PT"/>
              </w:rPr>
              <w:t>,0</w:t>
            </w:r>
          </w:p>
        </w:tc>
      </w:tr>
      <w:tr w:rsidR="009A1C3E" w:rsidRPr="009A1C3E" w14:paraId="15B62BE2" w14:textId="77777777" w:rsidTr="000D52FB">
        <w:trPr>
          <w:trHeight w:val="470"/>
        </w:trPr>
        <w:tc>
          <w:tcPr>
            <w:tcW w:w="368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160BF23"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Baixa concorrência no concurso vestibular em IES particulares</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7918C0A" w14:textId="5785BA18"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16</w:t>
            </w:r>
            <w:r w:rsidR="00F85E9B">
              <w:rPr>
                <w:rFonts w:ascii="Calibri" w:eastAsia="Calibri" w:hAnsi="Calibri" w:cs="Calibri"/>
                <w:color w:val="000000"/>
                <w:u w:color="000000"/>
                <w:lang w:val="pt-PT"/>
              </w:rPr>
              <w:t>,0</w:t>
            </w:r>
          </w:p>
        </w:tc>
      </w:tr>
      <w:tr w:rsidR="009A1C3E" w:rsidRPr="009A1C3E" w14:paraId="3515B503" w14:textId="77777777" w:rsidTr="000D52FB">
        <w:trPr>
          <w:trHeight w:val="394"/>
        </w:trPr>
        <w:tc>
          <w:tcPr>
            <w:tcW w:w="3686"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08BE4530"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Falta de atendimento ao aluno do ponto de vista administrativo institucional</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670EBE0" w14:textId="4993CDA3"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5</w:t>
            </w:r>
            <w:r w:rsidR="00F85E9B">
              <w:rPr>
                <w:rFonts w:ascii="Calibri" w:eastAsia="Calibri" w:hAnsi="Calibri" w:cs="Calibri"/>
                <w:color w:val="000000"/>
                <w:u w:color="000000"/>
                <w:lang w:val="pt-PT"/>
              </w:rPr>
              <w:t>,0</w:t>
            </w:r>
          </w:p>
        </w:tc>
      </w:tr>
      <w:tr w:rsidR="009A1C3E" w:rsidRPr="009A1C3E" w14:paraId="7F8D7D4A" w14:textId="77777777" w:rsidTr="000D52FB">
        <w:trPr>
          <w:trHeight w:val="729"/>
        </w:trPr>
        <w:tc>
          <w:tcPr>
            <w:tcW w:w="3686"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1CCDF641"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lastRenderedPageBreak/>
              <w:t>Ingresso em um curso pelo Sistema de Seleção Unificada (Sisu) que não é de seu interesse</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46CDE00" w14:textId="54E89925"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5</w:t>
            </w:r>
            <w:r w:rsidR="00F85E9B">
              <w:rPr>
                <w:rFonts w:ascii="Calibri" w:eastAsia="Calibri" w:hAnsi="Calibri" w:cs="Calibri"/>
                <w:color w:val="000000"/>
                <w:u w:color="000000"/>
                <w:lang w:val="pt-PT"/>
              </w:rPr>
              <w:t>,0</w:t>
            </w:r>
          </w:p>
        </w:tc>
      </w:tr>
      <w:tr w:rsidR="009A1C3E" w:rsidRPr="009A1C3E" w14:paraId="61E30BFA" w14:textId="77777777" w:rsidTr="000D52FB">
        <w:trPr>
          <w:trHeight w:val="235"/>
        </w:trPr>
        <w:tc>
          <w:tcPr>
            <w:tcW w:w="368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bottom"/>
          </w:tcPr>
          <w:p w14:paraId="720C712C" w14:textId="77777777" w:rsidR="009A1C3E" w:rsidRPr="009A1C3E" w:rsidRDefault="009A1C3E" w:rsidP="009A1C3E">
            <w:pPr>
              <w:suppressAutoHyphens/>
              <w:jc w:val="both"/>
              <w:rPr>
                <w:rFonts w:ascii="Helvetica" w:hAnsi="Helvetica" w:cs="Arial Unicode MS"/>
                <w:color w:val="000000"/>
                <w:u w:color="000000"/>
                <w:lang w:val="pt-PT"/>
              </w:rPr>
            </w:pPr>
            <w:r w:rsidRPr="009A1C3E">
              <w:rPr>
                <w:rFonts w:ascii="Calibri" w:eastAsia="Calibri" w:hAnsi="Calibri" w:cs="Calibri"/>
                <w:color w:val="000000"/>
                <w:u w:color="000000"/>
                <w:lang w:val="pt-PT"/>
              </w:rPr>
              <w:t>TOTAL</w:t>
            </w:r>
          </w:p>
        </w:tc>
        <w:tc>
          <w:tcPr>
            <w:tcW w:w="1701"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25E9766" w14:textId="00A7F070" w:rsidR="009A1C3E" w:rsidRPr="009A1C3E" w:rsidRDefault="009A1C3E" w:rsidP="00F85E9B">
            <w:pPr>
              <w:suppressAutoHyphens/>
              <w:jc w:val="center"/>
              <w:rPr>
                <w:rFonts w:ascii="Helvetica" w:hAnsi="Helvetica" w:cs="Arial Unicode MS"/>
                <w:color w:val="000000"/>
                <w:u w:color="000000"/>
                <w:lang w:val="pt-PT"/>
              </w:rPr>
            </w:pPr>
            <w:r w:rsidRPr="009A1C3E">
              <w:rPr>
                <w:rFonts w:ascii="Calibri" w:eastAsia="Calibri" w:hAnsi="Calibri" w:cs="Calibri"/>
                <w:color w:val="000000"/>
                <w:u w:color="000000"/>
                <w:lang w:val="pt-PT"/>
              </w:rPr>
              <w:t>100</w:t>
            </w:r>
            <w:r w:rsidR="00F85E9B">
              <w:rPr>
                <w:rFonts w:ascii="Calibri" w:eastAsia="Calibri" w:hAnsi="Calibri" w:cs="Calibri"/>
                <w:color w:val="000000"/>
                <w:u w:color="000000"/>
                <w:lang w:val="pt-PT"/>
              </w:rPr>
              <w:t>,0</w:t>
            </w:r>
          </w:p>
        </w:tc>
      </w:tr>
    </w:tbl>
    <w:p w14:paraId="2910BA1F" w14:textId="57EFC416" w:rsidR="009A1C3E" w:rsidRPr="009A1C3E" w:rsidRDefault="009A1C3E" w:rsidP="009A1C3E">
      <w:pPr>
        <w:widowControl w:val="0"/>
        <w:pBdr>
          <w:top w:val="nil"/>
          <w:left w:val="nil"/>
          <w:bottom w:val="nil"/>
          <w:right w:val="nil"/>
          <w:between w:val="nil"/>
          <w:bar w:val="nil"/>
        </w:pBdr>
        <w:suppressAutoHyphens/>
        <w:spacing w:after="120"/>
        <w:ind w:left="2835"/>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w:t>
      </w:r>
      <w:r w:rsidR="00245306">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Fonte: Elaboração dos autores.</w:t>
      </w:r>
    </w:p>
    <w:p w14:paraId="01C0FF32" w14:textId="5B9858DD"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Apesar de os percentuais associados às </w:t>
      </w:r>
      <w:r w:rsidR="009D6CF4">
        <w:rPr>
          <w:rFonts w:ascii="Calibri" w:eastAsia="Calibri" w:hAnsi="Calibri" w:cs="Calibri"/>
          <w:color w:val="FF0000"/>
          <w:u w:color="FF0000"/>
          <w:bdr w:val="nil"/>
          <w:lang w:val="pt-PT" w:eastAsia="pt-BR"/>
        </w:rPr>
        <w:t>frases</w:t>
      </w:r>
      <w:r w:rsidRPr="003B487E">
        <w:rPr>
          <w:rFonts w:ascii="Calibri" w:eastAsia="Calibri" w:hAnsi="Calibri" w:cs="Calibri"/>
          <w:color w:val="FF0000"/>
          <w:u w:color="FF0000"/>
          <w:bdr w:val="nil"/>
          <w:lang w:val="pt-PT" w:eastAsia="pt-BR"/>
        </w:rPr>
        <w:t xml:space="preserve"> </w:t>
      </w:r>
      <w:r w:rsidRPr="009A1C3E">
        <w:rPr>
          <w:rFonts w:ascii="Calibri" w:eastAsia="Calibri" w:hAnsi="Calibri" w:cs="Calibri"/>
          <w:color w:val="000000"/>
          <w:u w:color="FF0000"/>
          <w:bdr w:val="nil"/>
          <w:lang w:val="pt-PT" w:eastAsia="pt-BR"/>
        </w:rPr>
        <w:t xml:space="preserve">“falta de infraestrutura institucional” e “falta de acompanhamento acadêmico” indicarem 58% do total das </w:t>
      </w:r>
      <w:r w:rsidR="009D6CF4">
        <w:rPr>
          <w:rFonts w:ascii="Calibri" w:eastAsia="Calibri" w:hAnsi="Calibri" w:cs="Calibri"/>
          <w:color w:val="FF0000"/>
          <w:u w:color="FF0000"/>
          <w:bdr w:val="nil"/>
          <w:lang w:val="pt-PT" w:eastAsia="pt-BR"/>
        </w:rPr>
        <w:t>frases</w:t>
      </w:r>
      <w:r w:rsidRPr="009A1C3E">
        <w:rPr>
          <w:rFonts w:ascii="Calibri" w:eastAsia="Calibri" w:hAnsi="Calibri" w:cs="Calibri"/>
          <w:color w:val="000000"/>
          <w:u w:color="FF0000"/>
          <w:bdr w:val="nil"/>
          <w:lang w:val="pt-PT" w:eastAsia="pt-BR"/>
        </w:rPr>
        <w:t xml:space="preserve">, tal informação, se comparada com a Tabela 1, representa apenas 6,5% das causas associadas à evasão. </w:t>
      </w:r>
    </w:p>
    <w:p w14:paraId="640AE306" w14:textId="7777777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Neste sentido, pode-se conjecturar, com base nos dados analisados, que os setores acadêmico e administrativo das IES não contribuem, significativamente, para a evasão escolar. </w:t>
      </w:r>
    </w:p>
    <w:p w14:paraId="10B4506D" w14:textId="7777777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O grande número de docentes despreparados para o ensino e para lidar com o aluno real ocorre, entre muitas razões, pela falta de formação didático-pedagógica de vários deles e pela acomodação oriunda da estabilidade precoce de muitos (por força legal nas IES públicas e de fato nas IES privadas), tudo isso somado à dificuldade de cobrança de desempenho e à pequena valorização do ensino nos planos e nas promoções de carreira docente, com valorização quase exclusiva da produção científica.</w:t>
      </w:r>
    </w:p>
    <w:p w14:paraId="707E17A6" w14:textId="1C94AC4C" w:rsid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Na subcategoria pedagógica, as </w:t>
      </w:r>
      <w:r w:rsidR="009D6CF4">
        <w:rPr>
          <w:rFonts w:ascii="Calibri" w:eastAsia="Calibri" w:hAnsi="Calibri" w:cs="Calibri"/>
          <w:color w:val="FF0000"/>
          <w:u w:color="000000"/>
          <w:bdr w:val="nil"/>
          <w:lang w:val="pt-PT" w:eastAsia="pt-BR"/>
        </w:rPr>
        <w:t>frases</w:t>
      </w:r>
      <w:r w:rsidRPr="009A1C3E">
        <w:rPr>
          <w:rFonts w:ascii="Calibri" w:eastAsia="Calibri" w:hAnsi="Calibri" w:cs="Calibri"/>
          <w:color w:val="000000"/>
          <w:u w:color="000000"/>
          <w:bdr w:val="nil"/>
          <w:lang w:val="pt-PT" w:eastAsia="pt-BR"/>
        </w:rPr>
        <w:t xml:space="preserve"> identificadas que apareceram com maior frequência foram: reprovações sucessivas nas disciplinas do Ciclo Básico (34%); deficiências na formação da educação básica dos estudantes (22%); estrutura curricular (16%); e metodologia didático-pedagógica dos professores (13%) (Tabela 3).</w:t>
      </w:r>
    </w:p>
    <w:p w14:paraId="305E2208" w14:textId="6B89B0F0" w:rsidR="009A1C3E" w:rsidRDefault="009A1C3E" w:rsidP="009D6CF4">
      <w:pPr>
        <w:pBdr>
          <w:top w:val="nil"/>
          <w:left w:val="nil"/>
          <w:bottom w:val="nil"/>
          <w:right w:val="nil"/>
          <w:between w:val="nil"/>
          <w:bar w:val="nil"/>
        </w:pBdr>
        <w:suppressAutoHyphens/>
        <w:spacing w:before="40" w:after="240"/>
        <w:ind w:left="2835" w:firstLine="1"/>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 xml:space="preserve">Tabela 3 – </w:t>
      </w:r>
      <w:r w:rsidR="009D6CF4">
        <w:rPr>
          <w:rFonts w:ascii="Calibri" w:eastAsia="Calibri" w:hAnsi="Calibri" w:cs="Calibri"/>
          <w:bCs/>
          <w:color w:val="FF0000"/>
          <w:sz w:val="20"/>
          <w:szCs w:val="20"/>
          <w:u w:color="000000"/>
          <w:bdr w:val="nil"/>
          <w:lang w:val="pt-PT" w:eastAsia="pt-BR"/>
        </w:rPr>
        <w:t>Frases</w:t>
      </w:r>
      <w:r w:rsidRPr="003B487E">
        <w:rPr>
          <w:rFonts w:ascii="Calibri" w:eastAsia="Calibri" w:hAnsi="Calibri" w:cs="Calibri"/>
          <w:bCs/>
          <w:color w:val="FF0000"/>
          <w:sz w:val="20"/>
          <w:szCs w:val="20"/>
          <w:u w:color="000000"/>
          <w:bdr w:val="nil"/>
          <w:lang w:val="pt-PT" w:eastAsia="pt-BR"/>
        </w:rPr>
        <w:t xml:space="preserve"> </w:t>
      </w:r>
      <w:r w:rsidRPr="009A1C3E">
        <w:rPr>
          <w:rFonts w:ascii="Calibri" w:eastAsia="Calibri" w:hAnsi="Calibri" w:cs="Calibri"/>
          <w:bCs/>
          <w:color w:val="000000"/>
          <w:sz w:val="20"/>
          <w:szCs w:val="20"/>
          <w:u w:color="000000"/>
          <w:bdr w:val="nil"/>
          <w:lang w:val="pt-PT" w:eastAsia="pt-BR"/>
        </w:rPr>
        <w:t>associadas à subcategoria pedagógica</w:t>
      </w:r>
    </w:p>
    <w:tbl>
      <w:tblPr>
        <w:tblStyle w:val="TableNormal"/>
        <w:tblW w:w="7372" w:type="dxa"/>
        <w:tblInd w:w="2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0"/>
        <w:gridCol w:w="1702"/>
      </w:tblGrid>
      <w:tr w:rsidR="009A1C3E" w:rsidRPr="009A1C3E" w14:paraId="1793DA18" w14:textId="77777777" w:rsidTr="00245306">
        <w:trPr>
          <w:trHeight w:val="257"/>
        </w:trPr>
        <w:tc>
          <w:tcPr>
            <w:tcW w:w="5670" w:type="dxa"/>
            <w:tcBorders>
              <w:top w:val="single" w:sz="8" w:space="0" w:color="000000"/>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264C67F2" w14:textId="187D4686" w:rsidR="009A1C3E" w:rsidRPr="009A1C3E" w:rsidRDefault="009D6CF4" w:rsidP="00245306">
            <w:pPr>
              <w:jc w:val="center"/>
              <w:rPr>
                <w:rFonts w:cs="Arial Unicode MS"/>
                <w:color w:val="000000"/>
                <w:sz w:val="24"/>
                <w:szCs w:val="24"/>
                <w:u w:color="000000"/>
                <w:lang w:val="pt-PT"/>
              </w:rPr>
            </w:pPr>
            <w:r>
              <w:rPr>
                <w:rFonts w:ascii="Calibri" w:eastAsia="Calibri" w:hAnsi="Calibri" w:cs="Calibri"/>
                <w:b/>
                <w:bCs/>
                <w:color w:val="FF0000"/>
                <w:u w:color="000000"/>
                <w:lang w:val="pt-PT"/>
              </w:rPr>
              <w:t>Frases</w:t>
            </w:r>
          </w:p>
        </w:tc>
        <w:tc>
          <w:tcPr>
            <w:tcW w:w="1702" w:type="dxa"/>
            <w:tcBorders>
              <w:top w:val="single" w:sz="8" w:space="0" w:color="000000"/>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5C3C7CFD"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48C18655" w14:textId="77777777" w:rsidTr="00245306">
        <w:trPr>
          <w:trHeight w:val="592"/>
        </w:trPr>
        <w:tc>
          <w:tcPr>
            <w:tcW w:w="5670" w:type="dxa"/>
            <w:tcBorders>
              <w:top w:val="single" w:sz="8" w:space="0" w:color="000000"/>
              <w:left w:val="nil"/>
              <w:bottom w:val="nil"/>
              <w:right w:val="single" w:sz="4" w:space="0" w:color="000000"/>
            </w:tcBorders>
            <w:shd w:val="clear" w:color="auto" w:fill="FFFFFF"/>
            <w:tcMar>
              <w:top w:w="80" w:type="dxa"/>
              <w:left w:w="80" w:type="dxa"/>
              <w:bottom w:w="80" w:type="dxa"/>
              <w:right w:w="80" w:type="dxa"/>
            </w:tcMar>
            <w:vAlign w:val="center"/>
          </w:tcPr>
          <w:p w14:paraId="1E227894"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Reprovações sucessivas no Ciclo Básico de Engenharia, destacando-se, principalmente, as disciplinas de Cálculo</w:t>
            </w:r>
          </w:p>
        </w:tc>
        <w:tc>
          <w:tcPr>
            <w:tcW w:w="1702" w:type="dxa"/>
            <w:tcBorders>
              <w:top w:val="single" w:sz="8" w:space="0" w:color="000000"/>
              <w:left w:val="single" w:sz="4" w:space="0" w:color="000000"/>
              <w:bottom w:val="nil"/>
              <w:right w:val="nil"/>
            </w:tcBorders>
            <w:shd w:val="clear" w:color="auto" w:fill="FFFFFF"/>
            <w:tcMar>
              <w:top w:w="80" w:type="dxa"/>
              <w:left w:w="80" w:type="dxa"/>
              <w:bottom w:w="80" w:type="dxa"/>
              <w:right w:w="80" w:type="dxa"/>
            </w:tcMar>
            <w:vAlign w:val="center"/>
          </w:tcPr>
          <w:p w14:paraId="2B787F89"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34</w:t>
            </w:r>
          </w:p>
        </w:tc>
      </w:tr>
      <w:tr w:rsidR="009A1C3E" w:rsidRPr="009A1C3E" w14:paraId="59FDE74F" w14:textId="77777777" w:rsidTr="00245306">
        <w:trPr>
          <w:trHeight w:val="493"/>
        </w:trPr>
        <w:tc>
          <w:tcPr>
            <w:tcW w:w="567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34B435F"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Deficiências na formação da educação básica dos estudantes </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39645AD8"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22</w:t>
            </w:r>
          </w:p>
        </w:tc>
      </w:tr>
      <w:tr w:rsidR="009A1C3E" w:rsidRPr="009A1C3E" w14:paraId="4660FF1B" w14:textId="77777777" w:rsidTr="00245306">
        <w:trPr>
          <w:trHeight w:val="240"/>
        </w:trPr>
        <w:tc>
          <w:tcPr>
            <w:tcW w:w="567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C9FAF8A"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Estrutura curricular</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51E4C47"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16</w:t>
            </w:r>
          </w:p>
        </w:tc>
      </w:tr>
      <w:tr w:rsidR="009A1C3E" w:rsidRPr="009A1C3E" w14:paraId="3B1863FC" w14:textId="77777777" w:rsidTr="00245306">
        <w:trPr>
          <w:trHeight w:val="240"/>
        </w:trPr>
        <w:tc>
          <w:tcPr>
            <w:tcW w:w="567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2279B4F"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Metodologia didático-pedagógica dos professores </w:t>
            </w:r>
          </w:p>
        </w:tc>
        <w:tc>
          <w:tcPr>
            <w:tcW w:w="1702"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147DD9C7"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13</w:t>
            </w:r>
          </w:p>
        </w:tc>
      </w:tr>
      <w:tr w:rsidR="009A1C3E" w:rsidRPr="009A1C3E" w14:paraId="269A7264" w14:textId="77777777" w:rsidTr="00245306">
        <w:trPr>
          <w:trHeight w:val="240"/>
        </w:trPr>
        <w:tc>
          <w:tcPr>
            <w:tcW w:w="5670"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31C09955"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Rigor na relação professor-aluno </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44C7231A"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8</w:t>
            </w:r>
          </w:p>
        </w:tc>
      </w:tr>
      <w:tr w:rsidR="009A1C3E" w:rsidRPr="009A1C3E" w14:paraId="0245487C" w14:textId="77777777" w:rsidTr="00245306">
        <w:trPr>
          <w:trHeight w:val="460"/>
        </w:trPr>
        <w:tc>
          <w:tcPr>
            <w:tcW w:w="5670"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0E2326EB"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Não aplicabilidade das disciplinas do Ciclo Básico na área de Engenharia</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598CEDF"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4</w:t>
            </w:r>
          </w:p>
        </w:tc>
      </w:tr>
      <w:tr w:rsidR="009A1C3E" w:rsidRPr="009A1C3E" w14:paraId="10B9F459" w14:textId="77777777" w:rsidTr="00245306">
        <w:trPr>
          <w:trHeight w:val="240"/>
        </w:trPr>
        <w:tc>
          <w:tcPr>
            <w:tcW w:w="567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6FA801C"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Inabilidade de operar as ferramentas tecnológicas</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43117B74"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2</w:t>
            </w:r>
          </w:p>
        </w:tc>
      </w:tr>
      <w:tr w:rsidR="009A1C3E" w:rsidRPr="009A1C3E" w14:paraId="768713D8" w14:textId="77777777" w:rsidTr="00245306">
        <w:trPr>
          <w:trHeight w:val="240"/>
        </w:trPr>
        <w:tc>
          <w:tcPr>
            <w:tcW w:w="567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DFC0B1"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Processo avaliativo</w:t>
            </w:r>
          </w:p>
        </w:tc>
        <w:tc>
          <w:tcPr>
            <w:tcW w:w="170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4AF00F48"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w:t>
            </w:r>
          </w:p>
        </w:tc>
      </w:tr>
      <w:tr w:rsidR="009A1C3E" w:rsidRPr="009A1C3E" w14:paraId="0E6FBE11" w14:textId="77777777" w:rsidTr="00245306">
        <w:trPr>
          <w:trHeight w:val="240"/>
        </w:trPr>
        <w:tc>
          <w:tcPr>
            <w:tcW w:w="5670"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37114BBE" w14:textId="77777777" w:rsidR="009A1C3E" w:rsidRPr="009A1C3E" w:rsidRDefault="009A1C3E" w:rsidP="00245306">
            <w:pPr>
              <w:jc w:val="both"/>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702" w:type="dxa"/>
            <w:tcBorders>
              <w:top w:val="nil"/>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2D937EAF" w14:textId="77777777" w:rsidR="009A1C3E" w:rsidRPr="009A1C3E" w:rsidRDefault="009A1C3E" w:rsidP="00245306">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w:t>
            </w:r>
          </w:p>
        </w:tc>
      </w:tr>
    </w:tbl>
    <w:p w14:paraId="4CDA8902" w14:textId="15FF551E" w:rsidR="009A1C3E" w:rsidRPr="009A1C3E" w:rsidRDefault="00ED6775" w:rsidP="009A1C3E">
      <w:pPr>
        <w:widowControl w:val="0"/>
        <w:pBdr>
          <w:top w:val="nil"/>
          <w:left w:val="nil"/>
          <w:bottom w:val="nil"/>
          <w:right w:val="nil"/>
          <w:between w:val="nil"/>
          <w:bar w:val="nil"/>
        </w:pBdr>
        <w:suppressAutoHyphens/>
        <w:spacing w:line="360" w:lineRule="auto"/>
        <w:ind w:left="1416" w:firstLine="708"/>
        <w:rPr>
          <w:rFonts w:ascii="Calibri" w:eastAsia="Calibri" w:hAnsi="Calibri" w:cs="Calibri"/>
          <w:color w:val="000000"/>
          <w:sz w:val="20"/>
          <w:szCs w:val="20"/>
          <w:u w:color="000000"/>
          <w:bdr w:val="nil"/>
          <w:lang w:val="pt-PT" w:eastAsia="pt-BR"/>
        </w:rPr>
      </w:pPr>
      <w:r>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 xml:space="preserve">          </w:t>
      </w:r>
      <w:r w:rsidR="00245306">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Fonte: Elaboração dos autores.</w:t>
      </w:r>
    </w:p>
    <w:p w14:paraId="76C6F0A8" w14:textId="2899C0FE"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FF0000"/>
          <w:bdr w:val="nil"/>
          <w:lang w:val="pt-PT" w:eastAsia="pt-BR"/>
        </w:rPr>
        <w:t xml:space="preserve">Essas </w:t>
      </w:r>
      <w:r w:rsidR="009D6CF4">
        <w:rPr>
          <w:rFonts w:ascii="Calibri" w:eastAsia="Calibri" w:hAnsi="Calibri" w:cs="Calibri"/>
          <w:color w:val="FF0000"/>
          <w:u w:color="FF0000"/>
          <w:bdr w:val="nil"/>
          <w:lang w:val="pt-PT" w:eastAsia="pt-BR"/>
        </w:rPr>
        <w:t>frases</w:t>
      </w:r>
      <w:r w:rsidRPr="003B487E">
        <w:rPr>
          <w:rFonts w:ascii="Calibri" w:eastAsia="Calibri" w:hAnsi="Calibri" w:cs="Calibri"/>
          <w:color w:val="FF0000"/>
          <w:u w:color="FF0000"/>
          <w:bdr w:val="nil"/>
          <w:lang w:val="pt-PT" w:eastAsia="pt-BR"/>
        </w:rPr>
        <w:t xml:space="preserve"> </w:t>
      </w:r>
      <w:r w:rsidRPr="009A1C3E">
        <w:rPr>
          <w:rFonts w:ascii="Calibri" w:eastAsia="Calibri" w:hAnsi="Calibri" w:cs="Calibri"/>
          <w:color w:val="000000"/>
          <w:u w:color="FF0000"/>
          <w:bdr w:val="nil"/>
          <w:lang w:val="pt-PT" w:eastAsia="pt-BR"/>
        </w:rPr>
        <w:t xml:space="preserve">reforçam nossa opinião sobre a importância do acolhimento aos estudantes recém-chegados ao Ensino Superior. Apesar de não ser o principal </w:t>
      </w:r>
      <w:r w:rsidRPr="009A1C3E">
        <w:rPr>
          <w:rFonts w:ascii="Calibri" w:eastAsia="Calibri" w:hAnsi="Calibri" w:cs="Calibri"/>
          <w:color w:val="000000"/>
          <w:u w:color="FF0000"/>
          <w:bdr w:val="nil"/>
          <w:lang w:val="pt-PT" w:eastAsia="pt-BR"/>
        </w:rPr>
        <w:lastRenderedPageBreak/>
        <w:t xml:space="preserve">motivo pedagógico para a evasão, mais cuidado e atenção por parte do docente para com os alunos ingressantes, bem como na relação professor-aluno e na metodologia didático-pedagógica dos professores, poderiam contribuir para o acolhimento a que nos referimos anteriormente. </w:t>
      </w:r>
    </w:p>
    <w:p w14:paraId="490B628E" w14:textId="4D5AC821"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Já na subcategoria pessoal, as </w:t>
      </w:r>
      <w:r w:rsidR="009D6CF4">
        <w:rPr>
          <w:rFonts w:ascii="Calibri" w:eastAsia="Calibri" w:hAnsi="Calibri" w:cs="Calibri"/>
          <w:color w:val="FF0000"/>
          <w:u w:color="FF0000"/>
          <w:bdr w:val="nil"/>
          <w:lang w:val="pt-PT" w:eastAsia="pt-BR"/>
        </w:rPr>
        <w:t>frases</w:t>
      </w:r>
      <w:r w:rsidRPr="009A1C3E">
        <w:rPr>
          <w:rFonts w:ascii="Calibri" w:eastAsia="Calibri" w:hAnsi="Calibri" w:cs="Calibri"/>
          <w:color w:val="000000"/>
          <w:u w:color="FF0000"/>
          <w:bdr w:val="nil"/>
          <w:lang w:val="pt-PT" w:eastAsia="pt-BR"/>
        </w:rPr>
        <w:t xml:space="preserve"> identificadas que apareceram com mais frequência foram: desconhecimento da carreira de engenheiro devido à imaturidade discente e transição Ensino Médio – Ensino Superior, ambas com 31% (Tabela 4). </w:t>
      </w:r>
    </w:p>
    <w:p w14:paraId="54D0AF6F" w14:textId="0D26BECA" w:rsidR="009A1C3E" w:rsidRPr="009A1C3E" w:rsidRDefault="009A1C3E" w:rsidP="00245306">
      <w:pPr>
        <w:pBdr>
          <w:top w:val="nil"/>
          <w:left w:val="nil"/>
          <w:bottom w:val="nil"/>
          <w:right w:val="nil"/>
          <w:between w:val="nil"/>
          <w:bar w:val="nil"/>
        </w:pBdr>
        <w:spacing w:before="40" w:after="240"/>
        <w:ind w:left="2835"/>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 xml:space="preserve">Tabela 4 – </w:t>
      </w:r>
      <w:r w:rsidR="009A1AAF">
        <w:rPr>
          <w:rFonts w:ascii="Calibri" w:eastAsia="Calibri" w:hAnsi="Calibri" w:cs="Calibri"/>
          <w:bCs/>
          <w:color w:val="FF0000"/>
          <w:sz w:val="20"/>
          <w:szCs w:val="20"/>
          <w:u w:color="000000"/>
          <w:bdr w:val="nil"/>
          <w:lang w:val="pt-PT" w:eastAsia="pt-BR"/>
        </w:rPr>
        <w:t>Frases</w:t>
      </w:r>
      <w:r w:rsidRPr="009A1C3E">
        <w:rPr>
          <w:rFonts w:ascii="Calibri" w:eastAsia="Calibri" w:hAnsi="Calibri" w:cs="Calibri"/>
          <w:bCs/>
          <w:color w:val="000000"/>
          <w:sz w:val="20"/>
          <w:szCs w:val="20"/>
          <w:u w:color="000000"/>
          <w:bdr w:val="nil"/>
          <w:lang w:val="pt-PT" w:eastAsia="pt-BR"/>
        </w:rPr>
        <w:t xml:space="preserve"> associadas à subcategoria pessoal</w:t>
      </w:r>
    </w:p>
    <w:tbl>
      <w:tblPr>
        <w:tblStyle w:val="TableNormal"/>
        <w:tblW w:w="7230" w:type="dxa"/>
        <w:tblInd w:w="2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5529"/>
        <w:gridCol w:w="1701"/>
      </w:tblGrid>
      <w:tr w:rsidR="009A1C3E" w:rsidRPr="009A1C3E" w14:paraId="17D2EC4A" w14:textId="77777777" w:rsidTr="00ED6775">
        <w:trPr>
          <w:trHeight w:val="286"/>
          <w:tblHeader/>
        </w:trPr>
        <w:tc>
          <w:tcPr>
            <w:tcW w:w="5529" w:type="dxa"/>
            <w:tcBorders>
              <w:top w:val="single" w:sz="8" w:space="0" w:color="000000"/>
              <w:left w:val="nil"/>
              <w:bottom w:val="single" w:sz="8" w:space="0" w:color="000000"/>
              <w:right w:val="single" w:sz="4" w:space="0" w:color="000000"/>
            </w:tcBorders>
            <w:shd w:val="clear" w:color="auto" w:fill="auto"/>
            <w:tcMar>
              <w:top w:w="80" w:type="dxa"/>
              <w:left w:w="80" w:type="dxa"/>
              <w:bottom w:w="80" w:type="dxa"/>
              <w:right w:w="80" w:type="dxa"/>
            </w:tcMar>
            <w:vAlign w:val="center"/>
          </w:tcPr>
          <w:p w14:paraId="64E72AF6" w14:textId="14A5B393" w:rsidR="009A1C3E" w:rsidRPr="009A1C3E" w:rsidRDefault="009A1AAF" w:rsidP="009A1AAF">
            <w:pPr>
              <w:jc w:val="center"/>
              <w:rPr>
                <w:rFonts w:cs="Arial Unicode MS"/>
                <w:color w:val="000000"/>
                <w:sz w:val="24"/>
                <w:szCs w:val="24"/>
                <w:u w:color="000000"/>
                <w:lang w:val="pt-PT"/>
              </w:rPr>
            </w:pPr>
            <w:r w:rsidRPr="009A1AAF">
              <w:rPr>
                <w:rFonts w:ascii="Calibri" w:eastAsia="Calibri" w:hAnsi="Calibri" w:cs="Calibri"/>
                <w:b/>
                <w:bCs/>
                <w:color w:val="FF0000"/>
                <w:u w:color="000000"/>
                <w:lang w:val="pt-PT"/>
              </w:rPr>
              <w:t>Frases</w:t>
            </w:r>
          </w:p>
        </w:tc>
        <w:tc>
          <w:tcPr>
            <w:tcW w:w="1701" w:type="dxa"/>
            <w:tcBorders>
              <w:top w:val="single" w:sz="8" w:space="0" w:color="000000"/>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1367FFF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5B26CD2D" w14:textId="77777777" w:rsidTr="00ED6775">
        <w:tblPrEx>
          <w:shd w:val="clear" w:color="auto" w:fill="CDD4E9"/>
        </w:tblPrEx>
        <w:trPr>
          <w:trHeight w:val="392"/>
        </w:trPr>
        <w:tc>
          <w:tcPr>
            <w:tcW w:w="5529" w:type="dxa"/>
            <w:tcBorders>
              <w:top w:val="single" w:sz="8" w:space="0" w:color="000000"/>
              <w:left w:val="nil"/>
              <w:bottom w:val="nil"/>
              <w:right w:val="single" w:sz="4" w:space="0" w:color="000000"/>
            </w:tcBorders>
            <w:shd w:val="clear" w:color="auto" w:fill="auto"/>
            <w:tcMar>
              <w:top w:w="80" w:type="dxa"/>
              <w:left w:w="80" w:type="dxa"/>
              <w:bottom w:w="80" w:type="dxa"/>
              <w:right w:w="80" w:type="dxa"/>
            </w:tcMar>
            <w:vAlign w:val="center"/>
          </w:tcPr>
          <w:p w14:paraId="11BF92A6"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Desconhecimento da carreira de engenheiro devido à imaturidade discente </w:t>
            </w:r>
          </w:p>
        </w:tc>
        <w:tc>
          <w:tcPr>
            <w:tcW w:w="1701"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7D69B3E1"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31</w:t>
            </w:r>
          </w:p>
        </w:tc>
      </w:tr>
      <w:tr w:rsidR="009A1C3E" w:rsidRPr="009A1C3E" w14:paraId="70A82EB9" w14:textId="77777777" w:rsidTr="00ED6775">
        <w:tblPrEx>
          <w:shd w:val="clear" w:color="auto" w:fill="CDD4E9"/>
        </w:tblPrEx>
        <w:trPr>
          <w:trHeight w:val="124"/>
        </w:trPr>
        <w:tc>
          <w:tcPr>
            <w:tcW w:w="55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A9A1CB9"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Transição Ensino Médio – Ensino Superior</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54CDC3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31</w:t>
            </w:r>
          </w:p>
        </w:tc>
      </w:tr>
      <w:tr w:rsidR="009A1C3E" w:rsidRPr="009A1C3E" w14:paraId="6EC71DD9" w14:textId="77777777" w:rsidTr="00ED6775">
        <w:tblPrEx>
          <w:shd w:val="clear" w:color="auto" w:fill="CDD4E9"/>
        </w:tblPrEx>
        <w:trPr>
          <w:trHeight w:val="428"/>
        </w:trPr>
        <w:tc>
          <w:tcPr>
            <w:tcW w:w="55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F1550C3"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Realização de dois cursos concomitantes, candidato aprovado para mais de uma universidade</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FC835DC"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16,5</w:t>
            </w:r>
          </w:p>
        </w:tc>
      </w:tr>
      <w:tr w:rsidR="009A1C3E" w:rsidRPr="009A1C3E" w14:paraId="77D9992D" w14:textId="77777777" w:rsidTr="00ED6775">
        <w:tblPrEx>
          <w:shd w:val="clear" w:color="auto" w:fill="CDD4E9"/>
        </w:tblPrEx>
        <w:trPr>
          <w:trHeight w:val="54"/>
        </w:trPr>
        <w:tc>
          <w:tcPr>
            <w:tcW w:w="55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7D10172"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Relações interpessoais com os demais discentes</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83156BE"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9,5</w:t>
            </w:r>
          </w:p>
        </w:tc>
      </w:tr>
      <w:tr w:rsidR="009A1C3E" w:rsidRPr="009A1C3E" w14:paraId="56DA5E5E" w14:textId="77777777" w:rsidTr="00ED6775">
        <w:tblPrEx>
          <w:shd w:val="clear" w:color="auto" w:fill="CDD4E9"/>
        </w:tblPrEx>
        <w:trPr>
          <w:trHeight w:val="89"/>
        </w:trPr>
        <w:tc>
          <w:tcPr>
            <w:tcW w:w="55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1D65199"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Distância escola – residência</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46055D55"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9,5</w:t>
            </w:r>
          </w:p>
        </w:tc>
      </w:tr>
      <w:tr w:rsidR="009A1C3E" w:rsidRPr="009A1C3E" w14:paraId="6C83368B" w14:textId="77777777" w:rsidTr="00ED6775">
        <w:tblPrEx>
          <w:shd w:val="clear" w:color="auto" w:fill="CDD4E9"/>
        </w:tblPrEx>
        <w:trPr>
          <w:trHeight w:val="150"/>
        </w:trPr>
        <w:tc>
          <w:tcPr>
            <w:tcW w:w="55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26329D9"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Alteração de prioridade pessoal </w:t>
            </w:r>
          </w:p>
        </w:tc>
        <w:tc>
          <w:tcPr>
            <w:tcW w:w="170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1491A51"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2,5</w:t>
            </w:r>
          </w:p>
        </w:tc>
      </w:tr>
      <w:tr w:rsidR="009A1C3E" w:rsidRPr="009A1C3E" w14:paraId="49CBEA64" w14:textId="77777777" w:rsidTr="00ED6775">
        <w:tblPrEx>
          <w:shd w:val="clear" w:color="auto" w:fill="CDD4E9"/>
        </w:tblPrEx>
        <w:trPr>
          <w:trHeight w:val="170"/>
        </w:trPr>
        <w:tc>
          <w:tcPr>
            <w:tcW w:w="5529" w:type="dxa"/>
            <w:tcBorders>
              <w:top w:val="nil"/>
              <w:left w:val="nil"/>
              <w:bottom w:val="single" w:sz="8" w:space="0" w:color="000000"/>
              <w:right w:val="single" w:sz="4" w:space="0" w:color="000000"/>
            </w:tcBorders>
            <w:shd w:val="clear" w:color="auto" w:fill="auto"/>
            <w:tcMar>
              <w:top w:w="80" w:type="dxa"/>
              <w:left w:w="80" w:type="dxa"/>
              <w:bottom w:w="80" w:type="dxa"/>
              <w:right w:w="80" w:type="dxa"/>
            </w:tcMar>
            <w:vAlign w:val="center"/>
          </w:tcPr>
          <w:p w14:paraId="00D05748"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701" w:type="dxa"/>
            <w:tcBorders>
              <w:top w:val="nil"/>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53B109A5"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w:t>
            </w:r>
          </w:p>
        </w:tc>
      </w:tr>
    </w:tbl>
    <w:p w14:paraId="27806A6D" w14:textId="5468773D" w:rsidR="009A1C3E" w:rsidRPr="009A1C3E" w:rsidRDefault="009A1C3E" w:rsidP="009A1C3E">
      <w:pPr>
        <w:widowControl w:val="0"/>
        <w:pBdr>
          <w:top w:val="nil"/>
          <w:left w:val="nil"/>
          <w:bottom w:val="nil"/>
          <w:right w:val="nil"/>
          <w:between w:val="nil"/>
          <w:bar w:val="nil"/>
        </w:pBdr>
        <w:suppressAutoHyphens/>
        <w:spacing w:after="120" w:line="360" w:lineRule="auto"/>
        <w:ind w:left="2835" w:hanging="108"/>
        <w:rPr>
          <w:rFonts w:ascii="Times New Roman" w:eastAsia="Times New Roman" w:hAnsi="Times New Roman" w:cs="Times New Roman"/>
          <w:color w:val="000000"/>
          <w:sz w:val="20"/>
          <w:szCs w:val="20"/>
          <w:u w:color="000000"/>
          <w:bdr w:val="nil"/>
          <w:lang w:val="pt-PT" w:eastAsia="pt-BR"/>
        </w:rPr>
      </w:pPr>
      <w:r w:rsidRPr="009A1C3E">
        <w:rPr>
          <w:rFonts w:ascii="Times New Roman" w:eastAsia="Arial Unicode MS" w:hAnsi="Times New Roman" w:cs="Arial Unicode MS"/>
          <w:color w:val="000000"/>
          <w:sz w:val="20"/>
          <w:szCs w:val="20"/>
          <w:u w:color="000000"/>
          <w:bdr w:val="nil"/>
          <w:lang w:val="pt-PT" w:eastAsia="pt-BR"/>
        </w:rPr>
        <w:t xml:space="preserve">  </w:t>
      </w:r>
      <w:r w:rsidRPr="009A1C3E">
        <w:rPr>
          <w:rFonts w:eastAsia="Arial Unicode MS" w:cstheme="minorHAnsi"/>
          <w:color w:val="000000"/>
          <w:sz w:val="20"/>
          <w:szCs w:val="20"/>
          <w:u w:color="000000"/>
          <w:bdr w:val="nil"/>
          <w:lang w:val="pt-PT" w:eastAsia="pt-BR"/>
        </w:rPr>
        <w:t>Fonte: Elaboração dos autores</w:t>
      </w:r>
      <w:r w:rsidRPr="009A1C3E">
        <w:rPr>
          <w:rFonts w:ascii="Times New Roman" w:eastAsia="Arial Unicode MS" w:hAnsi="Times New Roman" w:cs="Arial Unicode MS"/>
          <w:color w:val="000000"/>
          <w:sz w:val="20"/>
          <w:szCs w:val="20"/>
          <w:u w:color="000000"/>
          <w:bdr w:val="nil"/>
          <w:lang w:val="pt-PT" w:eastAsia="pt-BR"/>
        </w:rPr>
        <w:t>.</w:t>
      </w:r>
    </w:p>
    <w:p w14:paraId="047FA06F" w14:textId="14C7066C" w:rsidR="009A1C3E" w:rsidRPr="009A1C3E" w:rsidRDefault="009A1C3E" w:rsidP="000D52FB">
      <w:pPr>
        <w:pBdr>
          <w:top w:val="nil"/>
          <w:left w:val="nil"/>
          <w:bottom w:val="nil"/>
          <w:right w:val="nil"/>
          <w:between w:val="nil"/>
          <w:bar w:val="nil"/>
        </w:pBdr>
        <w:tabs>
          <w:tab w:val="left" w:pos="2089"/>
        </w:tabs>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As </w:t>
      </w:r>
      <w:r w:rsidR="009A1AAF">
        <w:rPr>
          <w:rFonts w:ascii="Calibri" w:eastAsia="Calibri" w:hAnsi="Calibri" w:cs="Calibri"/>
          <w:color w:val="FF0000"/>
          <w:u w:color="FF0000"/>
          <w:bdr w:val="nil"/>
          <w:lang w:val="pt-PT" w:eastAsia="pt-BR"/>
        </w:rPr>
        <w:t>frases</w:t>
      </w:r>
      <w:r w:rsidRPr="009A1AAF">
        <w:rPr>
          <w:rFonts w:ascii="Calibri" w:eastAsia="Calibri" w:hAnsi="Calibri" w:cs="Calibri"/>
          <w:color w:val="FF0000"/>
          <w:u w:color="FF0000"/>
          <w:bdr w:val="nil"/>
          <w:lang w:val="pt-PT" w:eastAsia="pt-BR"/>
        </w:rPr>
        <w:t xml:space="preserve"> </w:t>
      </w:r>
      <w:r w:rsidRPr="009A1C3E">
        <w:rPr>
          <w:rFonts w:ascii="Calibri" w:eastAsia="Calibri" w:hAnsi="Calibri" w:cs="Calibri"/>
          <w:color w:val="000000"/>
          <w:u w:color="FF0000"/>
          <w:bdr w:val="nil"/>
          <w:lang w:val="pt-PT" w:eastAsia="pt-BR"/>
        </w:rPr>
        <w:t xml:space="preserve">que mais se destacaram na subcategoria pessoal sugerem que o Ensino Superior passou a ser uma extensão natural do Ensino Médio, logo uma parcela dos alunos desconhece a estrutura curricular do curso superior em que ingressaram. </w:t>
      </w:r>
    </w:p>
    <w:p w14:paraId="2F3A64B8" w14:textId="77777777" w:rsidR="009A1C3E" w:rsidRPr="009A1C3E" w:rsidRDefault="009A1C3E" w:rsidP="009A1C3E">
      <w:pPr>
        <w:pBdr>
          <w:top w:val="nil"/>
          <w:left w:val="nil"/>
          <w:bottom w:val="nil"/>
          <w:right w:val="nil"/>
          <w:between w:val="nil"/>
          <w:bar w:val="nil"/>
        </w:pBdr>
        <w:tabs>
          <w:tab w:val="left" w:pos="2089"/>
        </w:tabs>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Tal fato é corroborado com a falta de políticas (institucionais) das IES relacionadas, mais uma vez, ao acolhimento desses estudantes. Não há, aparentemente, preocupação, por parte da escola do Ensino Médio ou da IES, em preparar o aluno para a transição da Educação Básica para o Ensino Superior. </w:t>
      </w:r>
    </w:p>
    <w:p w14:paraId="6E36A8A1" w14:textId="77777777" w:rsidR="009A1C3E" w:rsidRPr="009A1C3E" w:rsidRDefault="009A1C3E" w:rsidP="00A97345">
      <w:pPr>
        <w:pBdr>
          <w:top w:val="nil"/>
          <w:left w:val="nil"/>
          <w:bottom w:val="nil"/>
          <w:right w:val="nil"/>
          <w:between w:val="nil"/>
          <w:bar w:val="nil"/>
        </w:pBdr>
        <w:suppressAutoHyphens/>
        <w:spacing w:after="12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Categoria: solução</w:t>
      </w:r>
    </w:p>
    <w:p w14:paraId="5B11654C" w14:textId="2BE937B1" w:rsidR="00381758" w:rsidRDefault="00381758"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594938">
        <w:rPr>
          <w:rFonts w:ascii="Calibri" w:eastAsia="Calibri" w:hAnsi="Calibri" w:cs="Calibri"/>
          <w:color w:val="FF0000"/>
          <w:u w:color="000000"/>
          <w:bdr w:val="nil"/>
          <w:lang w:val="pt-PT" w:eastAsia="pt-BR"/>
        </w:rPr>
        <w:t xml:space="preserve">Após a leitura dos </w:t>
      </w:r>
      <w:r>
        <w:rPr>
          <w:rFonts w:ascii="Calibri" w:eastAsia="Calibri" w:hAnsi="Calibri" w:cs="Calibri"/>
          <w:color w:val="FF0000"/>
          <w:u w:color="000000"/>
          <w:bdr w:val="nil"/>
          <w:lang w:val="pt-PT" w:eastAsia="pt-BR"/>
        </w:rPr>
        <w:t>69</w:t>
      </w:r>
      <w:r w:rsidRPr="00594938">
        <w:rPr>
          <w:rFonts w:ascii="Calibri" w:eastAsia="Calibri" w:hAnsi="Calibri" w:cs="Calibri"/>
          <w:color w:val="FF0000"/>
          <w:u w:color="000000"/>
          <w:bdr w:val="nil"/>
          <w:lang w:val="pt-PT" w:eastAsia="pt-BR"/>
        </w:rPr>
        <w:t xml:space="preserve"> resumos (e quando necessário dos textos completos) dos artigos, as subcategorias que emergiram foram as seguintes: acadêmico-administrativa, financeira, pedagógica, pessoal e profissional</w:t>
      </w:r>
      <w:r>
        <w:rPr>
          <w:rFonts w:ascii="Calibri" w:eastAsia="Calibri" w:hAnsi="Calibri" w:cs="Calibri"/>
          <w:color w:val="FF0000"/>
          <w:u w:color="000000"/>
          <w:bdr w:val="nil"/>
          <w:lang w:val="pt-PT" w:eastAsia="pt-BR"/>
        </w:rPr>
        <w:t>, conforme apresentado na Tabela 5.</w:t>
      </w:r>
      <w:r>
        <w:rPr>
          <w:rFonts w:ascii="Calibri" w:eastAsia="Calibri" w:hAnsi="Calibri" w:cs="Calibri"/>
          <w:color w:val="000000"/>
          <w:u w:color="000000"/>
          <w:bdr w:val="nil"/>
          <w:lang w:val="pt-PT" w:eastAsia="pt-BR"/>
        </w:rPr>
        <w:t xml:space="preserve">   </w:t>
      </w:r>
    </w:p>
    <w:p w14:paraId="32594273" w14:textId="5B88A99A" w:rsidR="009A1C3E" w:rsidRPr="009A1C3E" w:rsidRDefault="009A1C3E" w:rsidP="00ED6775">
      <w:pPr>
        <w:pBdr>
          <w:top w:val="nil"/>
          <w:left w:val="nil"/>
          <w:bottom w:val="nil"/>
          <w:right w:val="nil"/>
          <w:between w:val="nil"/>
          <w:bar w:val="nil"/>
        </w:pBdr>
        <w:spacing w:before="40" w:after="240"/>
        <w:ind w:left="1418" w:firstLine="709"/>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Tabela 5 – Subcategorias da categoria solução</w:t>
      </w:r>
    </w:p>
    <w:tbl>
      <w:tblPr>
        <w:tblStyle w:val="TableNormal"/>
        <w:tblW w:w="3992" w:type="dxa"/>
        <w:tblInd w:w="4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9"/>
        <w:gridCol w:w="1583"/>
      </w:tblGrid>
      <w:tr w:rsidR="009A1C3E" w:rsidRPr="009A1C3E" w14:paraId="3C914641" w14:textId="77777777" w:rsidTr="00245306">
        <w:trPr>
          <w:trHeight w:val="515"/>
        </w:trPr>
        <w:tc>
          <w:tcPr>
            <w:tcW w:w="2409" w:type="dxa"/>
            <w:tcBorders>
              <w:top w:val="single" w:sz="8" w:space="0" w:color="000000"/>
              <w:left w:val="nil"/>
              <w:bottom w:val="single" w:sz="8" w:space="0" w:color="000000"/>
              <w:right w:val="single" w:sz="4" w:space="0" w:color="000000"/>
            </w:tcBorders>
            <w:shd w:val="clear" w:color="auto" w:fill="auto"/>
            <w:tcMar>
              <w:top w:w="80" w:type="dxa"/>
              <w:left w:w="80" w:type="dxa"/>
              <w:bottom w:w="80" w:type="dxa"/>
              <w:right w:w="80" w:type="dxa"/>
            </w:tcMar>
            <w:vAlign w:val="center"/>
          </w:tcPr>
          <w:p w14:paraId="255705CD"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b/>
                <w:bCs/>
                <w:color w:val="000000"/>
                <w:u w:color="000000"/>
                <w:lang w:val="pt-PT"/>
              </w:rPr>
              <w:t>Subcategoria</w:t>
            </w:r>
          </w:p>
        </w:tc>
        <w:tc>
          <w:tcPr>
            <w:tcW w:w="1583" w:type="dxa"/>
            <w:tcBorders>
              <w:top w:val="single" w:sz="8" w:space="0" w:color="000000"/>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1686630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0D7D358A" w14:textId="77777777" w:rsidTr="00245306">
        <w:trPr>
          <w:trHeight w:val="240"/>
        </w:trPr>
        <w:tc>
          <w:tcPr>
            <w:tcW w:w="2409" w:type="dxa"/>
            <w:tcBorders>
              <w:top w:val="single" w:sz="8" w:space="0" w:color="000000"/>
              <w:left w:val="nil"/>
              <w:bottom w:val="nil"/>
              <w:right w:val="single" w:sz="4" w:space="0" w:color="000000"/>
            </w:tcBorders>
            <w:shd w:val="clear" w:color="auto" w:fill="auto"/>
            <w:tcMar>
              <w:top w:w="80" w:type="dxa"/>
              <w:left w:w="80" w:type="dxa"/>
              <w:bottom w:w="80" w:type="dxa"/>
              <w:right w:w="80" w:type="dxa"/>
            </w:tcMar>
            <w:vAlign w:val="center"/>
          </w:tcPr>
          <w:p w14:paraId="2C40EF20"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t>Pedagógica</w:t>
            </w:r>
          </w:p>
        </w:tc>
        <w:tc>
          <w:tcPr>
            <w:tcW w:w="1583" w:type="dxa"/>
            <w:tcBorders>
              <w:top w:val="single" w:sz="8" w:space="0" w:color="000000"/>
              <w:left w:val="single" w:sz="4" w:space="0" w:color="000000"/>
              <w:bottom w:val="nil"/>
              <w:right w:val="nil"/>
            </w:tcBorders>
            <w:shd w:val="clear" w:color="auto" w:fill="FFFFFF"/>
            <w:tcMar>
              <w:top w:w="80" w:type="dxa"/>
              <w:left w:w="80" w:type="dxa"/>
              <w:bottom w:w="80" w:type="dxa"/>
              <w:right w:w="80" w:type="dxa"/>
            </w:tcMar>
            <w:vAlign w:val="center"/>
          </w:tcPr>
          <w:p w14:paraId="52226B5A"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82,0</w:t>
            </w:r>
          </w:p>
        </w:tc>
      </w:tr>
      <w:tr w:rsidR="009A1C3E" w:rsidRPr="009A1C3E" w14:paraId="775D4F46" w14:textId="77777777" w:rsidTr="00245306">
        <w:trPr>
          <w:trHeight w:val="270"/>
        </w:trPr>
        <w:tc>
          <w:tcPr>
            <w:tcW w:w="240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77B9A72"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t>Acadêmico-administrativa</w:t>
            </w:r>
          </w:p>
        </w:tc>
        <w:tc>
          <w:tcPr>
            <w:tcW w:w="1583"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BE0BA70"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6,0</w:t>
            </w:r>
          </w:p>
        </w:tc>
      </w:tr>
      <w:tr w:rsidR="009A1C3E" w:rsidRPr="009A1C3E" w14:paraId="34BC727F" w14:textId="77777777" w:rsidTr="00245306">
        <w:trPr>
          <w:trHeight w:val="240"/>
        </w:trPr>
        <w:tc>
          <w:tcPr>
            <w:tcW w:w="2409"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51B7228B"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t>Financeira</w:t>
            </w:r>
          </w:p>
        </w:tc>
        <w:tc>
          <w:tcPr>
            <w:tcW w:w="1583"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9B520E9"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5,5</w:t>
            </w:r>
          </w:p>
        </w:tc>
      </w:tr>
      <w:tr w:rsidR="009A1C3E" w:rsidRPr="009A1C3E" w14:paraId="73DB7BB8" w14:textId="77777777" w:rsidTr="00245306">
        <w:trPr>
          <w:trHeight w:val="240"/>
        </w:trPr>
        <w:tc>
          <w:tcPr>
            <w:tcW w:w="2409"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3C8142AF"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lastRenderedPageBreak/>
              <w:t>Profissional</w:t>
            </w:r>
          </w:p>
        </w:tc>
        <w:tc>
          <w:tcPr>
            <w:tcW w:w="1583"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45E81787"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5,5</w:t>
            </w:r>
          </w:p>
        </w:tc>
      </w:tr>
      <w:tr w:rsidR="009A1C3E" w:rsidRPr="009A1C3E" w14:paraId="613E7B0D" w14:textId="77777777" w:rsidTr="00245306">
        <w:trPr>
          <w:trHeight w:val="240"/>
        </w:trPr>
        <w:tc>
          <w:tcPr>
            <w:tcW w:w="2409"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46262E57"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t>Pessoal</w:t>
            </w:r>
          </w:p>
        </w:tc>
        <w:tc>
          <w:tcPr>
            <w:tcW w:w="1583"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41CC9A0B"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w:t>
            </w:r>
          </w:p>
        </w:tc>
      </w:tr>
      <w:tr w:rsidR="009A1C3E" w:rsidRPr="009A1C3E" w14:paraId="76612DB8" w14:textId="77777777" w:rsidTr="00245306">
        <w:trPr>
          <w:trHeight w:val="240"/>
        </w:trPr>
        <w:tc>
          <w:tcPr>
            <w:tcW w:w="2409"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35038082"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583" w:type="dxa"/>
            <w:tcBorders>
              <w:top w:val="nil"/>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6265CC7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100,0</w:t>
            </w:r>
          </w:p>
        </w:tc>
      </w:tr>
    </w:tbl>
    <w:p w14:paraId="3E5AA5C4" w14:textId="3261E605" w:rsidR="009A1C3E" w:rsidRPr="009A1C3E" w:rsidRDefault="00ED6775" w:rsidP="00ED6775">
      <w:pPr>
        <w:widowControl w:val="0"/>
        <w:pBdr>
          <w:top w:val="nil"/>
          <w:left w:val="nil"/>
          <w:bottom w:val="nil"/>
          <w:right w:val="nil"/>
          <w:between w:val="nil"/>
          <w:bar w:val="nil"/>
        </w:pBdr>
        <w:suppressAutoHyphens/>
        <w:ind w:firstLine="567"/>
        <w:rPr>
          <w:rFonts w:ascii="Calibri" w:eastAsia="Calibri" w:hAnsi="Calibri" w:cs="Calibri"/>
          <w:color w:val="000000"/>
          <w:sz w:val="20"/>
          <w:szCs w:val="20"/>
          <w:u w:color="000000"/>
          <w:bdr w:val="nil"/>
          <w:lang w:val="pt-PT" w:eastAsia="pt-BR"/>
        </w:rPr>
      </w:pPr>
      <w:r>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 xml:space="preserve">                                                                  </w:t>
      </w:r>
      <w:r w:rsidR="000D52FB">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Fonte: Elaboração dos autores.</w:t>
      </w:r>
    </w:p>
    <w:p w14:paraId="33CCBED6" w14:textId="77777777" w:rsidR="00ED6775" w:rsidRDefault="00ED6775" w:rsidP="000D52FB">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p>
    <w:p w14:paraId="369618E2" w14:textId="24FBCFB1"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Para cada uma das cinco subcategorias associadas à categoria solução foi construída uma tabela com os resultados encontrados, exceto as subcategorias pessoal e profissional, pois não apareceu mais de uma </w:t>
      </w:r>
      <w:r w:rsidR="009A1AAF" w:rsidRPr="009A1AAF">
        <w:rPr>
          <w:rFonts w:ascii="Calibri" w:eastAsia="Calibri" w:hAnsi="Calibri" w:cs="Calibri"/>
          <w:color w:val="FF0000"/>
          <w:u w:color="000000"/>
          <w:bdr w:val="nil"/>
          <w:lang w:val="pt-PT" w:eastAsia="pt-BR"/>
        </w:rPr>
        <w:t>frase</w:t>
      </w:r>
      <w:r w:rsidRPr="009A1C3E">
        <w:rPr>
          <w:rFonts w:ascii="Calibri" w:eastAsia="Calibri" w:hAnsi="Calibri" w:cs="Calibri"/>
          <w:color w:val="000000"/>
          <w:u w:color="000000"/>
          <w:bdr w:val="nil"/>
          <w:lang w:val="pt-PT" w:eastAsia="pt-BR"/>
        </w:rPr>
        <w:t>. Na subcategoria pessoal, a solução apresentada foi a construção de unidades (campus) próximas à residência ou ao trabalho dos alunos. Já na subcategoria profissional, a solução foi a criação de um programa de acompanhamento dos fluxos de estudantes.</w:t>
      </w:r>
    </w:p>
    <w:p w14:paraId="37457749" w14:textId="7777777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A partir dos dados analisados, constatamos que a principal causa da evasão está associada à subcategoria pedagógica. Em consonância, a Tabela 5 mostra que a principal solução para a evasão também está associada a essa subcategoria. </w:t>
      </w:r>
    </w:p>
    <w:p w14:paraId="00328965" w14:textId="5395281E" w:rsidR="00381758" w:rsidRPr="00594938" w:rsidRDefault="009A1C3E" w:rsidP="00381758">
      <w:pPr>
        <w:pBdr>
          <w:top w:val="nil"/>
          <w:left w:val="nil"/>
          <w:bottom w:val="nil"/>
          <w:right w:val="nil"/>
          <w:between w:val="nil"/>
          <w:bar w:val="nil"/>
        </w:pBdr>
        <w:tabs>
          <w:tab w:val="left" w:pos="709"/>
        </w:tabs>
        <w:suppressAutoHyphens/>
        <w:spacing w:after="120"/>
        <w:ind w:left="2835" w:firstLine="426"/>
        <w:jc w:val="both"/>
        <w:rPr>
          <w:rFonts w:ascii="Calibri" w:eastAsia="Calibri" w:hAnsi="Calibri" w:cs="Calibri"/>
          <w:color w:val="FF0000"/>
          <w:u w:color="FF0000"/>
          <w:bdr w:val="nil"/>
          <w:lang w:val="pt-PT" w:eastAsia="pt-BR"/>
        </w:rPr>
      </w:pPr>
      <w:r w:rsidRPr="009A1C3E">
        <w:rPr>
          <w:rFonts w:ascii="Calibri" w:eastAsia="Calibri" w:hAnsi="Calibri" w:cs="Calibri"/>
          <w:color w:val="000000"/>
          <w:u w:color="FF0000"/>
          <w:bdr w:val="nil"/>
          <w:lang w:val="pt-PT" w:eastAsia="pt-BR"/>
        </w:rPr>
        <w:t xml:space="preserve">Na sequência, constam tabelas que associam, a cada uma das subcategorias da solução, as </w:t>
      </w:r>
      <w:r w:rsidR="009A1AAF">
        <w:rPr>
          <w:rFonts w:ascii="Calibri" w:eastAsia="Calibri" w:hAnsi="Calibri" w:cs="Calibri"/>
          <w:color w:val="FF0000"/>
          <w:u w:color="FF0000"/>
          <w:bdr w:val="nil"/>
          <w:lang w:val="pt-PT" w:eastAsia="pt-BR"/>
        </w:rPr>
        <w:t>frases</w:t>
      </w:r>
      <w:r w:rsidRPr="009A1AAF">
        <w:rPr>
          <w:rFonts w:ascii="Calibri" w:eastAsia="Calibri" w:hAnsi="Calibri" w:cs="Calibri"/>
          <w:color w:val="FF0000"/>
          <w:u w:color="FF0000"/>
          <w:bdr w:val="nil"/>
          <w:lang w:val="pt-PT" w:eastAsia="pt-BR"/>
        </w:rPr>
        <w:t xml:space="preserve"> </w:t>
      </w:r>
      <w:r w:rsidRPr="009A1C3E">
        <w:rPr>
          <w:rFonts w:ascii="Calibri" w:eastAsia="Calibri" w:hAnsi="Calibri" w:cs="Calibri"/>
          <w:color w:val="000000"/>
          <w:u w:color="FF0000"/>
          <w:bdr w:val="nil"/>
          <w:lang w:val="pt-PT" w:eastAsia="pt-BR"/>
        </w:rPr>
        <w:t>destacadas nas leituras dos artigos selecionados.</w:t>
      </w:r>
      <w:r w:rsidR="00381758">
        <w:rPr>
          <w:rFonts w:ascii="Calibri" w:eastAsia="Calibri" w:hAnsi="Calibri" w:cs="Calibri"/>
          <w:color w:val="000000"/>
          <w:u w:color="FF0000"/>
          <w:bdr w:val="nil"/>
          <w:lang w:val="pt-PT" w:eastAsia="pt-BR"/>
        </w:rPr>
        <w:t xml:space="preserve"> </w:t>
      </w:r>
      <w:r w:rsidR="00381758">
        <w:rPr>
          <w:rFonts w:ascii="Calibri" w:eastAsia="Calibri" w:hAnsi="Calibri" w:cs="Calibri"/>
          <w:color w:val="FF0000"/>
          <w:u w:color="FF0000"/>
          <w:bdr w:val="nil"/>
          <w:lang w:val="pt-PT" w:eastAsia="pt-BR"/>
        </w:rPr>
        <w:t xml:space="preserve">Cabe mencionar que os percentuais associados às frases que aparecem nas Tabelas 6, 7 e 8 referem-se aos totais de artigos classificados, respectivamente, nas subcategorias acadêmico-administrativa, financeira e pedagógica. </w:t>
      </w:r>
    </w:p>
    <w:p w14:paraId="6FC1E761" w14:textId="0DF6C105" w:rsid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 </w:t>
      </w:r>
      <w:r w:rsidR="009A1AAF">
        <w:rPr>
          <w:rFonts w:ascii="Calibri" w:eastAsia="Calibri" w:hAnsi="Calibri" w:cs="Calibri"/>
          <w:color w:val="FF0000"/>
          <w:u w:color="000000"/>
          <w:bdr w:val="nil"/>
          <w:lang w:val="pt-PT" w:eastAsia="pt-BR"/>
        </w:rPr>
        <w:t>frase</w:t>
      </w:r>
      <w:r w:rsidRPr="009A1C3E">
        <w:rPr>
          <w:rFonts w:ascii="Calibri" w:eastAsia="Calibri" w:hAnsi="Calibri" w:cs="Calibri"/>
          <w:color w:val="000000"/>
          <w:u w:color="000000"/>
          <w:bdr w:val="nil"/>
          <w:lang w:val="pt-PT" w:eastAsia="pt-BR"/>
        </w:rPr>
        <w:t xml:space="preserve"> que se destacou com 55% na subcategoria acadêmico-administrativa está relacionada ao aperfeiçoamento do processo de ingresso no Ensino Superior</w:t>
      </w:r>
      <w:r w:rsidRPr="009A1C3E">
        <w:rPr>
          <w:rFonts w:ascii="Calibri" w:eastAsia="Calibri" w:hAnsi="Calibri" w:cs="Calibri"/>
          <w:color w:val="000000"/>
          <w:u w:color="FF0000"/>
          <w:bdr w:val="nil"/>
          <w:lang w:val="pt-PT" w:eastAsia="pt-BR"/>
        </w:rPr>
        <w:t xml:space="preserve">, ou seja, com aspectos relacionados, do nosso ponto de vista, à transição da Educação Básica para o Ensino Superior. </w:t>
      </w:r>
      <w:r w:rsidRPr="009A1C3E">
        <w:rPr>
          <w:rFonts w:ascii="Calibri" w:eastAsia="Calibri" w:hAnsi="Calibri" w:cs="Calibri"/>
          <w:color w:val="000000"/>
          <w:u w:color="000000"/>
          <w:bdr w:val="nil"/>
          <w:lang w:val="pt-PT" w:eastAsia="pt-BR"/>
        </w:rPr>
        <w:t xml:space="preserve"> (Tabela 6). </w:t>
      </w:r>
    </w:p>
    <w:p w14:paraId="7CD66740" w14:textId="0000F234" w:rsidR="009A1C3E" w:rsidRPr="009A1C3E" w:rsidRDefault="009A1C3E" w:rsidP="000D52FB">
      <w:pPr>
        <w:pBdr>
          <w:top w:val="nil"/>
          <w:left w:val="nil"/>
          <w:bottom w:val="nil"/>
          <w:right w:val="nil"/>
          <w:between w:val="nil"/>
          <w:bar w:val="nil"/>
        </w:pBdr>
        <w:spacing w:before="40" w:after="240"/>
        <w:ind w:left="2835"/>
        <w:jc w:val="center"/>
        <w:rPr>
          <w:rFonts w:ascii="Calibri" w:eastAsia="Calibri" w:hAnsi="Calibri" w:cs="Calibri"/>
          <w:bCs/>
          <w:color w:val="000000"/>
          <w:sz w:val="20"/>
          <w:szCs w:val="20"/>
          <w:u w:color="000000"/>
          <w:bdr w:val="nil"/>
          <w:lang w:val="pt-PT" w:eastAsia="pt-BR"/>
        </w:rPr>
      </w:pPr>
      <w:r w:rsidRPr="009A1C3E">
        <w:rPr>
          <w:rFonts w:ascii="Calibri" w:eastAsia="Calibri" w:hAnsi="Calibri" w:cs="Calibri"/>
          <w:bCs/>
          <w:color w:val="000000"/>
          <w:sz w:val="20"/>
          <w:szCs w:val="20"/>
          <w:u w:color="000000"/>
          <w:bdr w:val="nil"/>
          <w:lang w:val="pt-PT" w:eastAsia="pt-BR"/>
        </w:rPr>
        <w:t xml:space="preserve">Tabela 6 – </w:t>
      </w:r>
      <w:r w:rsidR="009A1AAF">
        <w:rPr>
          <w:rFonts w:ascii="Calibri" w:eastAsia="Calibri" w:hAnsi="Calibri" w:cs="Calibri"/>
          <w:bCs/>
          <w:color w:val="FF0000"/>
          <w:sz w:val="20"/>
          <w:szCs w:val="20"/>
          <w:u w:color="000000"/>
          <w:bdr w:val="nil"/>
          <w:lang w:val="pt-PT" w:eastAsia="pt-BR"/>
        </w:rPr>
        <w:t>Frases</w:t>
      </w:r>
      <w:r w:rsidRPr="009A1C3E">
        <w:rPr>
          <w:rFonts w:ascii="Calibri" w:eastAsia="Calibri" w:hAnsi="Calibri" w:cs="Calibri"/>
          <w:bCs/>
          <w:color w:val="000000"/>
          <w:sz w:val="20"/>
          <w:szCs w:val="20"/>
          <w:u w:color="000000"/>
          <w:bdr w:val="nil"/>
          <w:lang w:val="pt-PT" w:eastAsia="pt-BR"/>
        </w:rPr>
        <w:t xml:space="preserve"> associadas à subcategoria acadêmico-administrativa</w:t>
      </w:r>
    </w:p>
    <w:tbl>
      <w:tblPr>
        <w:tblStyle w:val="TableNormal"/>
        <w:tblW w:w="7253" w:type="dxa"/>
        <w:tblInd w:w="2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91"/>
        <w:gridCol w:w="1862"/>
      </w:tblGrid>
      <w:tr w:rsidR="009A1C3E" w:rsidRPr="009A1C3E" w14:paraId="15E17F41" w14:textId="77777777" w:rsidTr="00ED6775">
        <w:trPr>
          <w:trHeight w:val="225"/>
        </w:trPr>
        <w:tc>
          <w:tcPr>
            <w:tcW w:w="5391" w:type="dxa"/>
            <w:tcBorders>
              <w:top w:val="single" w:sz="8" w:space="0" w:color="000000"/>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4843FB8F" w14:textId="0198951F" w:rsidR="009A1C3E" w:rsidRPr="009A1C3E" w:rsidRDefault="009A1AAF" w:rsidP="009A1AAF">
            <w:pPr>
              <w:jc w:val="center"/>
              <w:rPr>
                <w:rFonts w:cs="Arial Unicode MS"/>
                <w:color w:val="000000"/>
                <w:sz w:val="24"/>
                <w:szCs w:val="24"/>
                <w:u w:color="000000"/>
                <w:lang w:val="pt-PT"/>
              </w:rPr>
            </w:pPr>
            <w:r>
              <w:rPr>
                <w:rFonts w:ascii="Calibri" w:eastAsia="Calibri" w:hAnsi="Calibri" w:cs="Calibri"/>
                <w:b/>
                <w:bCs/>
                <w:color w:val="FF0000"/>
                <w:u w:color="000000"/>
                <w:lang w:val="pt-PT"/>
              </w:rPr>
              <w:t>Frases</w:t>
            </w:r>
          </w:p>
        </w:tc>
        <w:tc>
          <w:tcPr>
            <w:tcW w:w="1862" w:type="dxa"/>
            <w:tcBorders>
              <w:top w:val="single" w:sz="8" w:space="0" w:color="000000"/>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731679C8" w14:textId="77777777" w:rsidR="009A1C3E" w:rsidRPr="009A1C3E" w:rsidRDefault="009A1C3E" w:rsidP="009A1C3E">
            <w:pPr>
              <w:jc w:val="center"/>
              <w:rPr>
                <w:rFonts w:ascii="Calibri" w:eastAsia="Calibri" w:hAnsi="Calibri" w:cs="Calibri"/>
                <w:b/>
                <w:bCs/>
                <w:color w:val="000000"/>
                <w:u w:color="000000"/>
                <w:lang w:val="pt-PT"/>
              </w:rPr>
            </w:pPr>
            <w:r w:rsidRPr="009A1C3E">
              <w:rPr>
                <w:rFonts w:ascii="Calibri" w:eastAsia="Calibri" w:hAnsi="Calibri" w:cs="Calibri"/>
                <w:b/>
                <w:bCs/>
                <w:color w:val="000000"/>
                <w:u w:color="000000"/>
                <w:lang w:val="pt-PT"/>
              </w:rPr>
              <w:t xml:space="preserve">Porcentagem </w:t>
            </w:r>
          </w:p>
          <w:p w14:paraId="404AEFE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w:t>
            </w:r>
          </w:p>
        </w:tc>
      </w:tr>
      <w:tr w:rsidR="009A1C3E" w:rsidRPr="009A1C3E" w14:paraId="46435AAD" w14:textId="77777777" w:rsidTr="00ED6775">
        <w:trPr>
          <w:trHeight w:val="121"/>
        </w:trPr>
        <w:tc>
          <w:tcPr>
            <w:tcW w:w="5391" w:type="dxa"/>
            <w:tcBorders>
              <w:top w:val="single" w:sz="8" w:space="0" w:color="000000"/>
              <w:left w:val="nil"/>
              <w:bottom w:val="nil"/>
              <w:right w:val="single" w:sz="4" w:space="0" w:color="000000"/>
            </w:tcBorders>
            <w:shd w:val="clear" w:color="auto" w:fill="FFFFFF"/>
            <w:tcMar>
              <w:top w:w="80" w:type="dxa"/>
              <w:left w:w="80" w:type="dxa"/>
              <w:bottom w:w="80" w:type="dxa"/>
              <w:right w:w="80" w:type="dxa"/>
            </w:tcMar>
          </w:tcPr>
          <w:p w14:paraId="06DBA567"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Aperfeiçoamento do processo de ingresso no Ensino Superior </w:t>
            </w:r>
          </w:p>
        </w:tc>
        <w:tc>
          <w:tcPr>
            <w:tcW w:w="1862"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33650A27"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55,0</w:t>
            </w:r>
          </w:p>
        </w:tc>
      </w:tr>
      <w:tr w:rsidR="009A1C3E" w:rsidRPr="009A1C3E" w14:paraId="4A4D51AF" w14:textId="77777777" w:rsidTr="00ED6775">
        <w:trPr>
          <w:trHeight w:val="460"/>
        </w:trPr>
        <w:tc>
          <w:tcPr>
            <w:tcW w:w="5391"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20FA76E4"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Reestruturação da biblioteca e melhoria dos espaços de convivência dentro da universidade</w:t>
            </w:r>
          </w:p>
        </w:tc>
        <w:tc>
          <w:tcPr>
            <w:tcW w:w="186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43AFCCB7"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15,0</w:t>
            </w:r>
          </w:p>
        </w:tc>
      </w:tr>
      <w:tr w:rsidR="009A1C3E" w:rsidRPr="009A1C3E" w14:paraId="43E8AA30" w14:textId="77777777" w:rsidTr="00ED6775">
        <w:trPr>
          <w:trHeight w:val="460"/>
        </w:trPr>
        <w:tc>
          <w:tcPr>
            <w:tcW w:w="5391"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1343922D"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 xml:space="preserve">Aperfeiçoamento do processo de ingresso via Exame Nacional do Ensino Médio (Enem) </w:t>
            </w:r>
          </w:p>
        </w:tc>
        <w:tc>
          <w:tcPr>
            <w:tcW w:w="1862"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224B7588"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15,0</w:t>
            </w:r>
          </w:p>
        </w:tc>
      </w:tr>
      <w:tr w:rsidR="009A1C3E" w:rsidRPr="009A1C3E" w14:paraId="7DDF9FF6" w14:textId="77777777" w:rsidTr="00ED6775">
        <w:trPr>
          <w:trHeight w:val="240"/>
        </w:trPr>
        <w:tc>
          <w:tcPr>
            <w:tcW w:w="5391" w:type="dxa"/>
            <w:tcBorders>
              <w:top w:val="nil"/>
              <w:left w:val="nil"/>
              <w:bottom w:val="nil"/>
              <w:right w:val="single" w:sz="4" w:space="0" w:color="000000"/>
            </w:tcBorders>
            <w:shd w:val="clear" w:color="auto" w:fill="FFFFFF"/>
            <w:tcMar>
              <w:top w:w="80" w:type="dxa"/>
              <w:left w:w="80" w:type="dxa"/>
              <w:bottom w:w="80" w:type="dxa"/>
              <w:right w:w="80" w:type="dxa"/>
            </w:tcMar>
          </w:tcPr>
          <w:p w14:paraId="4FD5CDBA"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Diminuição do número de alunos por sala</w:t>
            </w:r>
          </w:p>
        </w:tc>
        <w:tc>
          <w:tcPr>
            <w:tcW w:w="1862"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58422DB0"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15,0</w:t>
            </w:r>
          </w:p>
        </w:tc>
      </w:tr>
      <w:tr w:rsidR="009A1C3E" w:rsidRPr="009A1C3E" w14:paraId="08B874EB" w14:textId="77777777" w:rsidTr="00ED6775">
        <w:trPr>
          <w:trHeight w:val="240"/>
        </w:trPr>
        <w:tc>
          <w:tcPr>
            <w:tcW w:w="5391"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07089735"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862" w:type="dxa"/>
            <w:tcBorders>
              <w:top w:val="nil"/>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6F9D8306"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100,0</w:t>
            </w:r>
          </w:p>
        </w:tc>
      </w:tr>
    </w:tbl>
    <w:p w14:paraId="2C4F5AEB" w14:textId="56A1775E" w:rsidR="009A1C3E" w:rsidRPr="009A1C3E" w:rsidRDefault="009A1C3E" w:rsidP="009A1C3E">
      <w:pPr>
        <w:widowControl w:val="0"/>
        <w:pBdr>
          <w:top w:val="nil"/>
          <w:left w:val="nil"/>
          <w:bottom w:val="nil"/>
          <w:right w:val="nil"/>
          <w:between w:val="nil"/>
          <w:bar w:val="nil"/>
        </w:pBdr>
        <w:suppressAutoHyphens/>
        <w:spacing w:after="120"/>
        <w:ind w:left="2835" w:hanging="108"/>
        <w:jc w:val="both"/>
        <w:rPr>
          <w:rFonts w:ascii="Calibri" w:eastAsia="Calibri" w:hAnsi="Calibri" w:cs="Calibri"/>
          <w:color w:val="000000"/>
          <w:sz w:val="20"/>
          <w:szCs w:val="20"/>
          <w:u w:color="000000"/>
          <w:bdr w:val="nil"/>
          <w:lang w:val="pt-PT" w:eastAsia="pt-BR"/>
        </w:rPr>
      </w:pPr>
      <w:r w:rsidRPr="009A1C3E">
        <w:rPr>
          <w:rFonts w:ascii="Times New Roman" w:eastAsia="Arial Unicode MS" w:hAnsi="Times New Roman" w:cs="Arial Unicode MS"/>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Fonte: Elaboração dos autores.</w:t>
      </w:r>
    </w:p>
    <w:p w14:paraId="7B5FAB61" w14:textId="412044A8"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Na subcategoria financeira, não houve </w:t>
      </w:r>
      <w:r w:rsidR="009A1AAF">
        <w:rPr>
          <w:rFonts w:ascii="Calibri" w:eastAsia="Calibri" w:hAnsi="Calibri" w:cs="Calibri"/>
          <w:color w:val="FF0000"/>
          <w:u w:color="000000"/>
          <w:bdr w:val="nil"/>
          <w:lang w:val="pt-PT" w:eastAsia="pt-BR"/>
        </w:rPr>
        <w:t>frase</w:t>
      </w:r>
      <w:r w:rsidRPr="009A1AAF">
        <w:rPr>
          <w:rFonts w:ascii="Calibri" w:eastAsia="Calibri" w:hAnsi="Calibri" w:cs="Calibri"/>
          <w:color w:val="FF0000"/>
          <w:u w:color="000000"/>
          <w:bdr w:val="nil"/>
          <w:lang w:val="pt-PT" w:eastAsia="pt-BR"/>
        </w:rPr>
        <w:t xml:space="preserve"> </w:t>
      </w:r>
      <w:r w:rsidRPr="009A1C3E">
        <w:rPr>
          <w:rFonts w:ascii="Calibri" w:eastAsia="Calibri" w:hAnsi="Calibri" w:cs="Calibri"/>
          <w:color w:val="000000"/>
          <w:u w:color="000000"/>
          <w:bdr w:val="nil"/>
          <w:lang w:val="pt-PT" w:eastAsia="pt-BR"/>
        </w:rPr>
        <w:t>que se destacasse das demais (Tabela 7).</w:t>
      </w:r>
    </w:p>
    <w:p w14:paraId="203EA96B" w14:textId="4A85FDF7" w:rsidR="009A1C3E" w:rsidRPr="009A1C3E" w:rsidRDefault="00ED6775" w:rsidP="00ED6775">
      <w:pPr>
        <w:pBdr>
          <w:top w:val="nil"/>
          <w:left w:val="nil"/>
          <w:bottom w:val="nil"/>
          <w:right w:val="nil"/>
          <w:between w:val="nil"/>
          <w:bar w:val="nil"/>
        </w:pBdr>
        <w:spacing w:before="40" w:after="240"/>
        <w:jc w:val="center"/>
        <w:rPr>
          <w:rFonts w:ascii="Calibri" w:eastAsia="Calibri" w:hAnsi="Calibri" w:cs="Calibri"/>
          <w:bCs/>
          <w:color w:val="000000"/>
          <w:sz w:val="20"/>
          <w:szCs w:val="20"/>
          <w:u w:color="000000"/>
          <w:bdr w:val="nil"/>
          <w:lang w:val="pt-PT" w:eastAsia="pt-BR"/>
        </w:rPr>
      </w:pPr>
      <w:r>
        <w:rPr>
          <w:rFonts w:ascii="Calibri" w:eastAsia="Calibri" w:hAnsi="Calibri" w:cs="Calibri"/>
          <w:b/>
          <w:bCs/>
          <w:color w:val="000000"/>
          <w:sz w:val="20"/>
          <w:szCs w:val="20"/>
          <w:u w:color="000000"/>
          <w:bdr w:val="nil"/>
          <w:lang w:val="pt-PT" w:eastAsia="pt-BR"/>
        </w:rPr>
        <w:t xml:space="preserve">                                                                                </w:t>
      </w:r>
      <w:r w:rsidR="009A1C3E" w:rsidRPr="009A1C3E">
        <w:rPr>
          <w:rFonts w:ascii="Calibri" w:eastAsia="Calibri" w:hAnsi="Calibri" w:cs="Calibri"/>
          <w:bCs/>
          <w:color w:val="000000"/>
          <w:sz w:val="20"/>
          <w:szCs w:val="20"/>
          <w:u w:color="000000"/>
          <w:bdr w:val="nil"/>
          <w:lang w:val="pt-PT" w:eastAsia="pt-BR"/>
        </w:rPr>
        <w:t xml:space="preserve">Tabela 7 – </w:t>
      </w:r>
      <w:r w:rsidR="009A1AAF">
        <w:rPr>
          <w:rFonts w:ascii="Calibri" w:eastAsia="Calibri" w:hAnsi="Calibri" w:cs="Calibri"/>
          <w:bCs/>
          <w:color w:val="FF0000"/>
          <w:sz w:val="20"/>
          <w:szCs w:val="20"/>
          <w:u w:color="000000"/>
          <w:bdr w:val="nil"/>
          <w:lang w:val="pt-PT" w:eastAsia="pt-BR"/>
        </w:rPr>
        <w:t>Frases</w:t>
      </w:r>
      <w:r w:rsidR="009A1C3E" w:rsidRPr="009A1C3E">
        <w:rPr>
          <w:rFonts w:ascii="Calibri" w:eastAsia="Calibri" w:hAnsi="Calibri" w:cs="Calibri"/>
          <w:bCs/>
          <w:color w:val="000000"/>
          <w:sz w:val="20"/>
          <w:szCs w:val="20"/>
          <w:u w:color="000000"/>
          <w:bdr w:val="nil"/>
          <w:lang w:val="pt-PT" w:eastAsia="pt-BR"/>
        </w:rPr>
        <w:t xml:space="preserve"> associadas à subcategoria financeira</w:t>
      </w:r>
    </w:p>
    <w:tbl>
      <w:tblPr>
        <w:tblStyle w:val="TableNormal"/>
        <w:tblW w:w="5671" w:type="dxa"/>
        <w:tblInd w:w="40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82"/>
        <w:gridCol w:w="1689"/>
      </w:tblGrid>
      <w:tr w:rsidR="009A1C3E" w:rsidRPr="009A1C3E" w14:paraId="3701E072" w14:textId="77777777" w:rsidTr="00ED6775">
        <w:trPr>
          <w:trHeight w:val="352"/>
        </w:trPr>
        <w:tc>
          <w:tcPr>
            <w:tcW w:w="3982" w:type="dxa"/>
            <w:tcBorders>
              <w:top w:val="single" w:sz="8" w:space="0" w:color="000000"/>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1EF6270B" w14:textId="70F73866" w:rsidR="009A1C3E" w:rsidRPr="009A1C3E" w:rsidRDefault="009A1AAF" w:rsidP="009A1AAF">
            <w:pPr>
              <w:jc w:val="center"/>
              <w:rPr>
                <w:rFonts w:cs="Arial Unicode MS"/>
                <w:color w:val="000000"/>
                <w:sz w:val="24"/>
                <w:szCs w:val="24"/>
                <w:u w:color="000000"/>
                <w:lang w:val="pt-PT"/>
              </w:rPr>
            </w:pPr>
            <w:r>
              <w:rPr>
                <w:rFonts w:ascii="Calibri" w:eastAsia="Calibri" w:hAnsi="Calibri" w:cs="Calibri"/>
                <w:b/>
                <w:bCs/>
                <w:color w:val="FF0000"/>
                <w:u w:color="000000"/>
                <w:lang w:val="pt-PT"/>
              </w:rPr>
              <w:t>Frases</w:t>
            </w:r>
          </w:p>
        </w:tc>
        <w:tc>
          <w:tcPr>
            <w:tcW w:w="1689" w:type="dxa"/>
            <w:tcBorders>
              <w:top w:val="single" w:sz="8" w:space="0" w:color="000000"/>
              <w:left w:val="single" w:sz="4" w:space="0" w:color="000000"/>
              <w:bottom w:val="single" w:sz="4" w:space="0" w:color="000000"/>
              <w:right w:val="nil"/>
            </w:tcBorders>
            <w:shd w:val="clear" w:color="auto" w:fill="FFFFFF"/>
            <w:tcMar>
              <w:top w:w="80" w:type="dxa"/>
              <w:left w:w="80" w:type="dxa"/>
              <w:bottom w:w="80" w:type="dxa"/>
              <w:right w:w="80" w:type="dxa"/>
            </w:tcMar>
            <w:vAlign w:val="center"/>
          </w:tcPr>
          <w:p w14:paraId="64449B2C"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09900D4B" w14:textId="77777777" w:rsidTr="00ED6775">
        <w:trPr>
          <w:trHeight w:val="455"/>
        </w:trPr>
        <w:tc>
          <w:tcPr>
            <w:tcW w:w="3982"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5E0C39BF"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IES privadas devem conceder descontos nas mensalidades</w:t>
            </w:r>
          </w:p>
        </w:tc>
        <w:tc>
          <w:tcPr>
            <w:tcW w:w="1689"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vAlign w:val="center"/>
          </w:tcPr>
          <w:p w14:paraId="16104768" w14:textId="3CAAEE7A"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50,0</w:t>
            </w:r>
          </w:p>
        </w:tc>
      </w:tr>
      <w:tr w:rsidR="009A1C3E" w:rsidRPr="009A1C3E" w14:paraId="2D7E0E09" w14:textId="77777777" w:rsidTr="00ED6775">
        <w:trPr>
          <w:trHeight w:val="460"/>
        </w:trPr>
        <w:tc>
          <w:tcPr>
            <w:tcW w:w="3982" w:type="dxa"/>
            <w:tcBorders>
              <w:top w:val="nil"/>
              <w:left w:val="nil"/>
              <w:bottom w:val="nil"/>
              <w:right w:val="single" w:sz="4" w:space="0" w:color="000000"/>
            </w:tcBorders>
            <w:shd w:val="clear" w:color="auto" w:fill="FFFFFF"/>
            <w:tcMar>
              <w:top w:w="80" w:type="dxa"/>
              <w:left w:w="80" w:type="dxa"/>
              <w:bottom w:w="80" w:type="dxa"/>
              <w:right w:w="80" w:type="dxa"/>
            </w:tcMar>
          </w:tcPr>
          <w:p w14:paraId="765AA5AC"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lastRenderedPageBreak/>
              <w:t>Oferecimento de bolsas de iniciação científica e monitoria e estágio</w:t>
            </w:r>
          </w:p>
        </w:tc>
        <w:tc>
          <w:tcPr>
            <w:tcW w:w="1689"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E92B6DE"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50,0</w:t>
            </w:r>
          </w:p>
        </w:tc>
      </w:tr>
      <w:tr w:rsidR="009A1C3E" w:rsidRPr="009A1C3E" w14:paraId="131AD454" w14:textId="77777777" w:rsidTr="00ED6775">
        <w:trPr>
          <w:trHeight w:val="240"/>
        </w:trPr>
        <w:tc>
          <w:tcPr>
            <w:tcW w:w="3982"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57ED2943"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689" w:type="dxa"/>
            <w:tcBorders>
              <w:top w:val="nil"/>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4054DFCF"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100,0</w:t>
            </w:r>
          </w:p>
        </w:tc>
      </w:tr>
    </w:tbl>
    <w:p w14:paraId="31F1B6BC" w14:textId="4F635786" w:rsidR="009A1C3E" w:rsidRPr="009A1C3E" w:rsidRDefault="009A1C3E" w:rsidP="009A1C3E">
      <w:pPr>
        <w:widowControl w:val="0"/>
        <w:pBdr>
          <w:top w:val="nil"/>
          <w:left w:val="nil"/>
          <w:bottom w:val="nil"/>
          <w:right w:val="nil"/>
          <w:between w:val="nil"/>
          <w:bar w:val="nil"/>
        </w:pBdr>
        <w:spacing w:after="120"/>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Fonte: Elaboração dos autores.</w:t>
      </w:r>
    </w:p>
    <w:p w14:paraId="20FC20B1" w14:textId="0EBB85BD" w:rsid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As </w:t>
      </w:r>
      <w:r w:rsidR="009A1AAF">
        <w:rPr>
          <w:rFonts w:ascii="Calibri" w:eastAsia="Calibri" w:hAnsi="Calibri" w:cs="Calibri"/>
          <w:color w:val="FF0000"/>
          <w:u w:color="000000"/>
          <w:bdr w:val="nil"/>
          <w:lang w:val="pt-PT" w:eastAsia="pt-BR"/>
        </w:rPr>
        <w:t>frases</w:t>
      </w:r>
      <w:r w:rsidRPr="009A1C3E">
        <w:rPr>
          <w:rFonts w:ascii="Calibri" w:eastAsia="Calibri" w:hAnsi="Calibri" w:cs="Calibri"/>
          <w:color w:val="000000"/>
          <w:u w:color="000000"/>
          <w:bdr w:val="nil"/>
          <w:lang w:val="pt-PT" w:eastAsia="pt-BR"/>
        </w:rPr>
        <w:t xml:space="preserve"> que apareceram com mais frequência associadas à subcategoria pedagógica foram: os programas de monitoria, tutoria e nivelamento para as disciplinas do Ciclo Básico (20,5%); melhoria das ferramentas computacionais no</w:t>
      </w:r>
      <w:r w:rsidR="00A427F5">
        <w:rPr>
          <w:rFonts w:ascii="Calibri" w:eastAsia="Calibri" w:hAnsi="Calibri" w:cs="Calibri"/>
          <w:color w:val="000000"/>
          <w:u w:color="000000"/>
          <w:bdr w:val="nil"/>
          <w:lang w:val="pt-PT" w:eastAsia="pt-BR"/>
        </w:rPr>
        <w:t>s</w:t>
      </w:r>
      <w:r w:rsidRPr="009A1C3E">
        <w:rPr>
          <w:rFonts w:ascii="Calibri" w:eastAsia="Calibri" w:hAnsi="Calibri" w:cs="Calibri"/>
          <w:color w:val="000000"/>
          <w:u w:color="000000"/>
          <w:bdr w:val="nil"/>
          <w:lang w:val="pt-PT" w:eastAsia="pt-BR"/>
        </w:rPr>
        <w:t xml:space="preserve"> processo</w:t>
      </w:r>
      <w:r w:rsidR="00A427F5">
        <w:rPr>
          <w:rFonts w:ascii="Calibri" w:eastAsia="Calibri" w:hAnsi="Calibri" w:cs="Calibri"/>
          <w:color w:val="000000"/>
          <w:u w:color="000000"/>
          <w:bdr w:val="nil"/>
          <w:lang w:val="pt-PT" w:eastAsia="pt-BR"/>
        </w:rPr>
        <w:t>s</w:t>
      </w:r>
      <w:r w:rsidRPr="009A1C3E">
        <w:rPr>
          <w:rFonts w:ascii="Calibri" w:eastAsia="Calibri" w:hAnsi="Calibri" w:cs="Calibri"/>
          <w:color w:val="000000"/>
          <w:u w:color="000000"/>
          <w:bdr w:val="nil"/>
          <w:lang w:val="pt-PT" w:eastAsia="pt-BR"/>
        </w:rPr>
        <w:t xml:space="preserve"> de ensino e aprendizagem das disciplinas do Ciclo Básico (11%); reestruturação curricular, por meio da compactação da grade-horária; e, por fim, trabalhos em equipes para incentivar a integração do corpo discente (9%) (Tabela 8).</w:t>
      </w:r>
    </w:p>
    <w:p w14:paraId="037EEA57" w14:textId="4C0D5CA1" w:rsidR="009A1C3E" w:rsidRPr="009A1C3E" w:rsidRDefault="009A1C3E" w:rsidP="000D52FB">
      <w:pPr>
        <w:pBdr>
          <w:top w:val="nil"/>
          <w:left w:val="nil"/>
          <w:bottom w:val="nil"/>
          <w:right w:val="nil"/>
          <w:between w:val="nil"/>
          <w:bar w:val="nil"/>
        </w:pBdr>
        <w:spacing w:before="40" w:after="240"/>
        <w:ind w:left="2835"/>
        <w:jc w:val="center"/>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Tabela 8 – </w:t>
      </w:r>
      <w:r w:rsidR="009A1AAF" w:rsidRPr="009A1AAF">
        <w:rPr>
          <w:rFonts w:ascii="Calibri" w:eastAsia="Calibri" w:hAnsi="Calibri" w:cs="Calibri"/>
          <w:color w:val="FF0000"/>
          <w:sz w:val="20"/>
          <w:szCs w:val="20"/>
          <w:u w:color="000000"/>
          <w:bdr w:val="nil"/>
          <w:lang w:val="pt-PT" w:eastAsia="pt-BR"/>
        </w:rPr>
        <w:t>Frases</w:t>
      </w:r>
      <w:r w:rsidRPr="009A1C3E">
        <w:rPr>
          <w:rFonts w:ascii="Calibri" w:eastAsia="Calibri" w:hAnsi="Calibri" w:cs="Calibri"/>
          <w:color w:val="000000"/>
          <w:sz w:val="20"/>
          <w:szCs w:val="20"/>
          <w:u w:color="000000"/>
          <w:bdr w:val="nil"/>
          <w:lang w:val="pt-PT" w:eastAsia="pt-BR"/>
        </w:rPr>
        <w:t xml:space="preserve"> associadas à subcategoria pedagógica</w:t>
      </w:r>
    </w:p>
    <w:tbl>
      <w:tblPr>
        <w:tblStyle w:val="TableNormal"/>
        <w:tblW w:w="6324" w:type="dxa"/>
        <w:tblInd w:w="33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4527"/>
        <w:gridCol w:w="1797"/>
      </w:tblGrid>
      <w:tr w:rsidR="009A1C3E" w:rsidRPr="009A1C3E" w14:paraId="2DB1314D" w14:textId="77777777" w:rsidTr="00F85E9B">
        <w:trPr>
          <w:trHeight w:val="297"/>
          <w:tblHeader/>
        </w:trPr>
        <w:tc>
          <w:tcPr>
            <w:tcW w:w="4527" w:type="dxa"/>
            <w:tcBorders>
              <w:top w:val="single" w:sz="8" w:space="0" w:color="000000"/>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36F0BC62" w14:textId="71D41D4B" w:rsidR="009A1C3E" w:rsidRPr="009A1C3E" w:rsidRDefault="009A1AAF" w:rsidP="00F85E9B">
            <w:pPr>
              <w:jc w:val="center"/>
              <w:rPr>
                <w:rFonts w:cs="Arial Unicode MS"/>
                <w:color w:val="000000"/>
                <w:sz w:val="24"/>
                <w:szCs w:val="24"/>
                <w:u w:color="000000"/>
                <w:lang w:val="pt-PT"/>
              </w:rPr>
            </w:pPr>
            <w:r>
              <w:rPr>
                <w:rFonts w:ascii="Calibri" w:eastAsia="Calibri" w:hAnsi="Calibri" w:cs="Calibri"/>
                <w:b/>
                <w:bCs/>
                <w:color w:val="FF0000"/>
                <w:u w:color="000000"/>
                <w:lang w:val="pt-PT"/>
              </w:rPr>
              <w:t>Frases</w:t>
            </w:r>
          </w:p>
        </w:tc>
        <w:tc>
          <w:tcPr>
            <w:tcW w:w="1797" w:type="dxa"/>
            <w:tcBorders>
              <w:top w:val="single" w:sz="8" w:space="0" w:color="000000"/>
              <w:left w:val="single" w:sz="4" w:space="0" w:color="000000"/>
              <w:bottom w:val="single" w:sz="4" w:space="0" w:color="000000"/>
              <w:right w:val="nil"/>
            </w:tcBorders>
            <w:shd w:val="clear" w:color="auto" w:fill="FFFFFF"/>
            <w:tcMar>
              <w:top w:w="80" w:type="dxa"/>
              <w:left w:w="80" w:type="dxa"/>
              <w:bottom w:w="80" w:type="dxa"/>
              <w:right w:w="80" w:type="dxa"/>
            </w:tcMar>
            <w:vAlign w:val="center"/>
          </w:tcPr>
          <w:p w14:paraId="4C77DEF5"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0D74DED2" w14:textId="77777777" w:rsidTr="00F85E9B">
        <w:tblPrEx>
          <w:shd w:val="clear" w:color="auto" w:fill="CDD4E9"/>
        </w:tblPrEx>
        <w:trPr>
          <w:trHeight w:val="455"/>
        </w:trPr>
        <w:tc>
          <w:tcPr>
            <w:tcW w:w="4527"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vAlign w:val="center"/>
          </w:tcPr>
          <w:p w14:paraId="01BD17B7"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Programas de monitoria, tutoria e nivelamento para as disciplinas do Ciclo Básico</w:t>
            </w:r>
          </w:p>
        </w:tc>
        <w:tc>
          <w:tcPr>
            <w:tcW w:w="179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E43788F"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20,5</w:t>
            </w:r>
          </w:p>
        </w:tc>
      </w:tr>
      <w:tr w:rsidR="009A1C3E" w:rsidRPr="009A1C3E" w14:paraId="675A5457" w14:textId="77777777" w:rsidTr="00F85E9B">
        <w:tblPrEx>
          <w:shd w:val="clear" w:color="auto" w:fill="CDD4E9"/>
        </w:tblPrEx>
        <w:trPr>
          <w:trHeight w:val="680"/>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794D2BD" w14:textId="4CDC704D"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Melhoria das ferramentas computacionais no</w:t>
            </w:r>
            <w:r w:rsidR="00A427F5">
              <w:rPr>
                <w:rFonts w:ascii="Calibri" w:eastAsia="Calibri" w:hAnsi="Calibri" w:cs="Calibri"/>
                <w:color w:val="000000"/>
                <w:u w:color="000000"/>
                <w:lang w:val="pt-PT"/>
              </w:rPr>
              <w:t>s</w:t>
            </w:r>
            <w:r w:rsidRPr="009A1C3E">
              <w:rPr>
                <w:rFonts w:ascii="Calibri" w:eastAsia="Calibri" w:hAnsi="Calibri" w:cs="Calibri"/>
                <w:color w:val="000000"/>
                <w:u w:color="000000"/>
                <w:lang w:val="pt-PT"/>
              </w:rPr>
              <w:t xml:space="preserve"> processo</w:t>
            </w:r>
            <w:r w:rsidR="00A427F5">
              <w:rPr>
                <w:rFonts w:ascii="Calibri" w:eastAsia="Calibri" w:hAnsi="Calibri" w:cs="Calibri"/>
                <w:color w:val="000000"/>
                <w:u w:color="000000"/>
                <w:lang w:val="pt-PT"/>
              </w:rPr>
              <w:t>s</w:t>
            </w:r>
            <w:r w:rsidRPr="009A1C3E">
              <w:rPr>
                <w:rFonts w:ascii="Calibri" w:eastAsia="Calibri" w:hAnsi="Calibri" w:cs="Calibri"/>
                <w:color w:val="000000"/>
                <w:u w:color="000000"/>
                <w:lang w:val="pt-PT"/>
              </w:rPr>
              <w:t xml:space="preserve"> de ensino e aprendizagem das disciplinas do Ciclo Básico</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03657C33"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11,0</w:t>
            </w:r>
          </w:p>
        </w:tc>
      </w:tr>
      <w:tr w:rsidR="009A1C3E" w:rsidRPr="009A1C3E" w14:paraId="40977D3E" w14:textId="77777777" w:rsidTr="00F85E9B">
        <w:tblPrEx>
          <w:shd w:val="clear" w:color="auto" w:fill="CDD4E9"/>
        </w:tblPrEx>
        <w:trPr>
          <w:trHeight w:val="460"/>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0F628711"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Reestruturação curricular – grade horária (mais compactada)</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1E45B8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10,0</w:t>
            </w:r>
          </w:p>
        </w:tc>
      </w:tr>
      <w:tr w:rsidR="009A1C3E" w:rsidRPr="009A1C3E" w14:paraId="797BBC0F" w14:textId="77777777" w:rsidTr="00F85E9B">
        <w:tblPrEx>
          <w:shd w:val="clear" w:color="auto" w:fill="CDD4E9"/>
        </w:tblPrEx>
        <w:trPr>
          <w:trHeight w:val="460"/>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0EAC8666"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Trabalhos em equipes para incentivar a integração do corpo discente</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0BACA67D"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9,0</w:t>
            </w:r>
          </w:p>
        </w:tc>
      </w:tr>
      <w:tr w:rsidR="009A1C3E" w:rsidRPr="009A1C3E" w14:paraId="0FFDB1AD" w14:textId="77777777" w:rsidTr="00F85E9B">
        <w:tblPrEx>
          <w:shd w:val="clear" w:color="auto" w:fill="CDD4E9"/>
        </w:tblPrEx>
        <w:trPr>
          <w:trHeight w:val="307"/>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1AEA8390"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Inclusão do tema evasão nos projetos político-pedagógicos dos cursos</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31C5E56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7,5</w:t>
            </w:r>
          </w:p>
        </w:tc>
      </w:tr>
      <w:tr w:rsidR="009A1C3E" w:rsidRPr="009A1C3E" w14:paraId="550C8015" w14:textId="77777777" w:rsidTr="00F85E9B">
        <w:tblPrEx>
          <w:shd w:val="clear" w:color="auto" w:fill="CDD4E9"/>
        </w:tblPrEx>
        <w:trPr>
          <w:trHeight w:val="372"/>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129601DB"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Implantação de metodologias de aprendizagem ativas no ensino do Cálculo Diferencial e Integral</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1FD1F76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7,5</w:t>
            </w:r>
          </w:p>
        </w:tc>
      </w:tr>
      <w:tr w:rsidR="009A1C3E" w:rsidRPr="009A1C3E" w14:paraId="0B4F3B36" w14:textId="77777777" w:rsidTr="00F85E9B">
        <w:tblPrEx>
          <w:shd w:val="clear" w:color="auto" w:fill="CDD4E9"/>
        </w:tblPrEx>
        <w:trPr>
          <w:trHeight w:val="24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5B9A8DC7"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Inter-relação dos Ciclos Básico e Profissional</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33DF790"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7,5</w:t>
            </w:r>
          </w:p>
        </w:tc>
      </w:tr>
      <w:tr w:rsidR="009A1C3E" w:rsidRPr="009A1C3E" w14:paraId="40DC0261" w14:textId="77777777" w:rsidTr="00F85E9B">
        <w:tblPrEx>
          <w:shd w:val="clear" w:color="auto" w:fill="CDD4E9"/>
        </w:tblPrEx>
        <w:trPr>
          <w:trHeight w:val="900"/>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99F4FAB"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Criação da Semana das Engenharias. Aperfeiçoamento das visitas técnicas. Criação da Semana de Integração e da Semana de Integração Universidade e Comunidade.</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FC0572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7,5</w:t>
            </w:r>
          </w:p>
        </w:tc>
      </w:tr>
      <w:tr w:rsidR="009A1C3E" w:rsidRPr="009A1C3E" w14:paraId="60A8AC93" w14:textId="77777777" w:rsidTr="00F85E9B">
        <w:tblPrEx>
          <w:shd w:val="clear" w:color="auto" w:fill="CDD4E9"/>
        </w:tblPrEx>
        <w:trPr>
          <w:trHeight w:val="24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53541848"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Aplicação prática para os alunos do Ciclo Básico</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5C346237"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5,5</w:t>
            </w:r>
          </w:p>
        </w:tc>
      </w:tr>
      <w:tr w:rsidR="009A1C3E" w:rsidRPr="009A1C3E" w14:paraId="059CD683" w14:textId="77777777" w:rsidTr="00F85E9B">
        <w:tblPrEx>
          <w:shd w:val="clear" w:color="auto" w:fill="CDD4E9"/>
        </w:tblPrEx>
        <w:trPr>
          <w:trHeight w:val="46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41F16004"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Aperfeiçoamento da disciplina de Introdução à Engenharia</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3FD4069"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4,5</w:t>
            </w:r>
          </w:p>
        </w:tc>
      </w:tr>
      <w:tr w:rsidR="009A1C3E" w:rsidRPr="009A1C3E" w14:paraId="3F347AF1" w14:textId="77777777" w:rsidTr="00F85E9B">
        <w:tblPrEx>
          <w:shd w:val="clear" w:color="auto" w:fill="CDD4E9"/>
        </w:tblPrEx>
        <w:trPr>
          <w:trHeight w:val="262"/>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6CDE1550"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Trabalho de integração com o Ensino Médio</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1EE480F8"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3,5</w:t>
            </w:r>
          </w:p>
        </w:tc>
      </w:tr>
      <w:tr w:rsidR="009A1C3E" w:rsidRPr="009A1C3E" w14:paraId="7F7DEEEF" w14:textId="77777777" w:rsidTr="00F85E9B">
        <w:tblPrEx>
          <w:shd w:val="clear" w:color="auto" w:fill="CDD4E9"/>
        </w:tblPrEx>
        <w:trPr>
          <w:trHeight w:val="14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5B5D4904"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Incentivo à qualificação docente de nível superior</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24C6F3A6"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2,0</w:t>
            </w:r>
          </w:p>
        </w:tc>
      </w:tr>
      <w:tr w:rsidR="009A1C3E" w:rsidRPr="009A1C3E" w14:paraId="5099E7EC" w14:textId="77777777" w:rsidTr="00F85E9B">
        <w:tblPrEx>
          <w:shd w:val="clear" w:color="auto" w:fill="CDD4E9"/>
        </w:tblPrEx>
        <w:trPr>
          <w:trHeight w:val="21"/>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D44398B"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Criação da disciplina Introdução à Engenharia Química</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D604091"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w:t>
            </w:r>
          </w:p>
        </w:tc>
      </w:tr>
      <w:tr w:rsidR="009A1C3E" w:rsidRPr="009A1C3E" w14:paraId="4636A6B2" w14:textId="77777777" w:rsidTr="00F85E9B">
        <w:tblPrEx>
          <w:shd w:val="clear" w:color="auto" w:fill="CDD4E9"/>
        </w:tblPrEx>
        <w:trPr>
          <w:trHeight w:val="24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3B631C21"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Exame e recuperação</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643AFE32"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w:t>
            </w:r>
          </w:p>
        </w:tc>
      </w:tr>
      <w:tr w:rsidR="009A1C3E" w:rsidRPr="009A1C3E" w14:paraId="26167124" w14:textId="77777777" w:rsidTr="00F85E9B">
        <w:tblPrEx>
          <w:shd w:val="clear" w:color="auto" w:fill="CDD4E9"/>
        </w:tblPrEx>
        <w:trPr>
          <w:trHeight w:val="460"/>
        </w:trPr>
        <w:tc>
          <w:tcPr>
            <w:tcW w:w="452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9A5CF09"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Aumento da carga-horária das disciplinas da área de Produção nas demais Engenharias</w:t>
            </w:r>
          </w:p>
        </w:tc>
        <w:tc>
          <w:tcPr>
            <w:tcW w:w="1797"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90453FA"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w:t>
            </w:r>
          </w:p>
        </w:tc>
      </w:tr>
      <w:tr w:rsidR="009A1C3E" w:rsidRPr="009A1C3E" w14:paraId="0F755843" w14:textId="77777777" w:rsidTr="00F85E9B">
        <w:tblPrEx>
          <w:shd w:val="clear" w:color="auto" w:fill="CDD4E9"/>
        </w:tblPrEx>
        <w:trPr>
          <w:trHeight w:val="460"/>
        </w:trPr>
        <w:tc>
          <w:tcPr>
            <w:tcW w:w="4527"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45FF4B51"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lastRenderedPageBreak/>
              <w:t>Dependência assistida por meio da realização de atividades complementares (Curso de férias)</w:t>
            </w:r>
          </w:p>
        </w:tc>
        <w:tc>
          <w:tcPr>
            <w:tcW w:w="1797"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6DF94913"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1,0</w:t>
            </w:r>
          </w:p>
        </w:tc>
      </w:tr>
      <w:tr w:rsidR="009A1C3E" w:rsidRPr="009A1C3E" w14:paraId="16442435" w14:textId="77777777" w:rsidTr="00F85E9B">
        <w:tblPrEx>
          <w:shd w:val="clear" w:color="auto" w:fill="CDD4E9"/>
        </w:tblPrEx>
        <w:trPr>
          <w:trHeight w:val="240"/>
        </w:trPr>
        <w:tc>
          <w:tcPr>
            <w:tcW w:w="4527"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23C7CDA5"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797" w:type="dxa"/>
            <w:tcBorders>
              <w:top w:val="nil"/>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4328FB79"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100,0</w:t>
            </w:r>
          </w:p>
        </w:tc>
      </w:tr>
    </w:tbl>
    <w:p w14:paraId="26F25CAB" w14:textId="6CF54143" w:rsidR="009A1C3E" w:rsidRPr="009A1C3E" w:rsidRDefault="009A1C3E" w:rsidP="009A1C3E">
      <w:pPr>
        <w:widowControl w:val="0"/>
        <w:pBdr>
          <w:top w:val="nil"/>
          <w:left w:val="nil"/>
          <w:bottom w:val="nil"/>
          <w:right w:val="nil"/>
          <w:between w:val="nil"/>
          <w:bar w:val="nil"/>
        </w:pBdr>
        <w:suppressAutoHyphens/>
        <w:spacing w:after="120" w:line="360" w:lineRule="auto"/>
        <w:ind w:left="2835" w:hanging="108"/>
        <w:jc w:val="both"/>
        <w:rPr>
          <w:rFonts w:ascii="Calibri" w:eastAsia="Calibri" w:hAnsi="Calibri" w:cs="Calibri"/>
          <w:color w:val="000000"/>
          <w:sz w:val="20"/>
          <w:szCs w:val="20"/>
          <w:u w:color="000000"/>
          <w:bdr w:val="nil"/>
          <w:lang w:val="pt-PT" w:eastAsia="pt-BR"/>
        </w:rPr>
      </w:pPr>
      <w:r w:rsidRPr="009A1C3E">
        <w:rPr>
          <w:rFonts w:ascii="Times New Roman" w:eastAsia="Arial Unicode MS" w:hAnsi="Times New Roman" w:cs="Arial Unicode MS"/>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Fonte: Elaboração dos autores.</w:t>
      </w:r>
    </w:p>
    <w:p w14:paraId="3AD9DFBE" w14:textId="7C05C6B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A </w:t>
      </w:r>
      <w:r w:rsidR="009A1AAF">
        <w:rPr>
          <w:rFonts w:ascii="Calibri" w:eastAsia="Calibri" w:hAnsi="Calibri" w:cs="Calibri"/>
          <w:color w:val="FF0000"/>
          <w:u w:color="FF0000"/>
          <w:bdr w:val="nil"/>
          <w:lang w:val="pt-PT" w:eastAsia="pt-BR"/>
        </w:rPr>
        <w:t>frase</w:t>
      </w:r>
      <w:r w:rsidRPr="009A1C3E">
        <w:rPr>
          <w:rFonts w:ascii="Calibri" w:eastAsia="Calibri" w:hAnsi="Calibri" w:cs="Calibri"/>
          <w:color w:val="000000"/>
          <w:u w:color="FF0000"/>
          <w:bdr w:val="nil"/>
          <w:lang w:val="pt-PT" w:eastAsia="pt-BR"/>
        </w:rPr>
        <w:t xml:space="preserve"> que mais apareceu corrobora com a nossa ideia de que é necessário acolher melhor os alunos que chegam ao Ensino Superior, seja por meio de programas de monitoria e/ou nivelamento para as disciplinas do Ciclo Básico. A proposta de tutoria parece diferenciada, principalmente, se pudesse ser realizada por alunos que estão nos ciclos mais adiantados e que, possivelmente, foram acometidos pelas mesmas dificuldades dos alunos ingressantes. </w:t>
      </w:r>
    </w:p>
    <w:p w14:paraId="53694AC6" w14:textId="7777777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Sobre o uso das novas TICs em sala de aula, tal estratégia poderá, de certa maneira, prender mais a atenção dos alunos durante as aulas, bem como contribuir para que eles tenham condições, por meio do processo de visualização, de compreender certos aspectos das disciplinas do Ciclo Básico, tais como da Geometria Analítica e do Cálculo Diferencial e Integral. </w:t>
      </w:r>
    </w:p>
    <w:p w14:paraId="0966641A" w14:textId="77777777" w:rsidR="009A1C3E" w:rsidRPr="009A1C3E" w:rsidRDefault="009A1C3E" w:rsidP="00A97345">
      <w:pPr>
        <w:pBdr>
          <w:top w:val="nil"/>
          <w:left w:val="nil"/>
          <w:bottom w:val="nil"/>
          <w:right w:val="nil"/>
          <w:between w:val="nil"/>
          <w:bar w:val="nil"/>
        </w:pBdr>
        <w:suppressAutoHyphens/>
        <w:spacing w:after="120"/>
        <w:ind w:left="2835"/>
        <w:jc w:val="both"/>
        <w:outlineLvl w:val="2"/>
        <w:rPr>
          <w:rFonts w:ascii="Calibri" w:eastAsia="Calibri" w:hAnsi="Calibri" w:cs="Calibri"/>
          <w:b/>
          <w:bCs/>
          <w:color w:val="000000"/>
          <w:u w:color="000000"/>
          <w:bdr w:val="nil"/>
          <w:lang w:val="pt-PT" w:eastAsia="pt-BR"/>
        </w:rPr>
      </w:pPr>
      <w:r w:rsidRPr="009A1C3E">
        <w:rPr>
          <w:rFonts w:ascii="Calibri" w:eastAsia="Calibri" w:hAnsi="Calibri" w:cs="Calibri"/>
          <w:b/>
          <w:bCs/>
          <w:color w:val="000000"/>
          <w:u w:color="000000"/>
          <w:bdr w:val="nil"/>
          <w:lang w:val="pt-PT" w:eastAsia="pt-BR"/>
        </w:rPr>
        <w:t>Categoria: índice</w:t>
      </w:r>
    </w:p>
    <w:p w14:paraId="06A9D44F" w14:textId="545607FE" w:rsidR="000D0EA7" w:rsidRDefault="000D0EA7" w:rsidP="000D0EA7">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594938">
        <w:rPr>
          <w:rFonts w:ascii="Calibri" w:eastAsia="Calibri" w:hAnsi="Calibri" w:cs="Calibri"/>
          <w:color w:val="FF0000"/>
          <w:u w:color="000000"/>
          <w:bdr w:val="nil"/>
          <w:lang w:val="pt-PT" w:eastAsia="pt-BR"/>
        </w:rPr>
        <w:t xml:space="preserve">Após a leitura dos </w:t>
      </w:r>
      <w:r>
        <w:rPr>
          <w:rFonts w:ascii="Calibri" w:eastAsia="Calibri" w:hAnsi="Calibri" w:cs="Calibri"/>
          <w:color w:val="FF0000"/>
          <w:u w:color="000000"/>
          <w:bdr w:val="nil"/>
          <w:lang w:val="pt-PT" w:eastAsia="pt-BR"/>
        </w:rPr>
        <w:t>36</w:t>
      </w:r>
      <w:r w:rsidRPr="00594938">
        <w:rPr>
          <w:rFonts w:ascii="Calibri" w:eastAsia="Calibri" w:hAnsi="Calibri" w:cs="Calibri"/>
          <w:color w:val="FF0000"/>
          <w:u w:color="000000"/>
          <w:bdr w:val="nil"/>
          <w:lang w:val="pt-PT" w:eastAsia="pt-BR"/>
        </w:rPr>
        <w:t xml:space="preserve"> resumos (e quando necessário dos textos completos) dos artigos, as subcategorias que emergiram foram as seguintes: </w:t>
      </w:r>
      <w:r>
        <w:rPr>
          <w:rFonts w:ascii="Calibri" w:eastAsia="Calibri" w:hAnsi="Calibri" w:cs="Calibri"/>
          <w:color w:val="FF0000"/>
          <w:u w:color="000000"/>
          <w:bdr w:val="nil"/>
          <w:lang w:val="pt-PT" w:eastAsia="pt-BR"/>
        </w:rPr>
        <w:t>taxa de evasão, taxa de retença, taxa de trancamente, número de alunos evadidos e índice de reprovação nas disciplinas da área de Matemática, conforme apresentado na Tabela 9.</w:t>
      </w:r>
      <w:r>
        <w:rPr>
          <w:rFonts w:ascii="Calibri" w:eastAsia="Calibri" w:hAnsi="Calibri" w:cs="Calibri"/>
          <w:color w:val="000000"/>
          <w:u w:color="000000"/>
          <w:bdr w:val="nil"/>
          <w:lang w:val="pt-PT" w:eastAsia="pt-BR"/>
        </w:rPr>
        <w:t xml:space="preserve">   </w:t>
      </w:r>
    </w:p>
    <w:p w14:paraId="7B5932E7" w14:textId="32C88639" w:rsidR="009A1C3E" w:rsidRPr="009A1C3E" w:rsidRDefault="009A1C3E" w:rsidP="00F85E9B">
      <w:pPr>
        <w:pBdr>
          <w:top w:val="nil"/>
          <w:left w:val="nil"/>
          <w:bottom w:val="nil"/>
          <w:right w:val="nil"/>
          <w:between w:val="nil"/>
          <w:bar w:val="nil"/>
        </w:pBdr>
        <w:spacing w:before="40" w:after="240"/>
        <w:ind w:left="2835"/>
        <w:jc w:val="center"/>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Tabela 9 – As subcategorias do índice</w:t>
      </w:r>
    </w:p>
    <w:tbl>
      <w:tblPr>
        <w:tblStyle w:val="TableNormal"/>
        <w:tblW w:w="5245" w:type="dxa"/>
        <w:tblInd w:w="36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653"/>
        <w:gridCol w:w="1592"/>
      </w:tblGrid>
      <w:tr w:rsidR="009A1C3E" w:rsidRPr="009A1C3E" w14:paraId="76B4C3D6" w14:textId="77777777" w:rsidTr="000D52FB">
        <w:trPr>
          <w:trHeight w:val="240"/>
          <w:tblHeader/>
        </w:trPr>
        <w:tc>
          <w:tcPr>
            <w:tcW w:w="3653" w:type="dxa"/>
            <w:tcBorders>
              <w:top w:val="single" w:sz="8" w:space="0" w:color="000000"/>
              <w:left w:val="nil"/>
              <w:bottom w:val="single" w:sz="8" w:space="0" w:color="000000"/>
              <w:right w:val="single" w:sz="4" w:space="0" w:color="000000"/>
            </w:tcBorders>
            <w:shd w:val="clear" w:color="auto" w:fill="FFFFFF"/>
            <w:tcMar>
              <w:top w:w="80" w:type="dxa"/>
              <w:left w:w="80" w:type="dxa"/>
              <w:bottom w:w="80" w:type="dxa"/>
              <w:right w:w="80" w:type="dxa"/>
            </w:tcMar>
            <w:vAlign w:val="center"/>
          </w:tcPr>
          <w:p w14:paraId="2802D084"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b/>
                <w:bCs/>
                <w:color w:val="000000"/>
                <w:u w:color="000000"/>
                <w:lang w:val="pt-PT"/>
              </w:rPr>
              <w:t>Subcategoria</w:t>
            </w:r>
          </w:p>
        </w:tc>
        <w:tc>
          <w:tcPr>
            <w:tcW w:w="1592" w:type="dxa"/>
            <w:tcBorders>
              <w:top w:val="single" w:sz="8" w:space="0" w:color="000000"/>
              <w:left w:val="single" w:sz="4" w:space="0" w:color="000000"/>
              <w:bottom w:val="single" w:sz="8" w:space="0" w:color="000000"/>
              <w:right w:val="nil"/>
            </w:tcBorders>
            <w:shd w:val="clear" w:color="auto" w:fill="auto"/>
            <w:tcMar>
              <w:top w:w="80" w:type="dxa"/>
              <w:left w:w="80" w:type="dxa"/>
              <w:bottom w:w="80" w:type="dxa"/>
              <w:right w:w="80" w:type="dxa"/>
            </w:tcMar>
            <w:vAlign w:val="center"/>
          </w:tcPr>
          <w:p w14:paraId="0F061087"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Porcentagem (%)</w:t>
            </w:r>
          </w:p>
        </w:tc>
      </w:tr>
      <w:tr w:rsidR="009A1C3E" w:rsidRPr="009A1C3E" w14:paraId="0A58FA78" w14:textId="77777777" w:rsidTr="000D52FB">
        <w:tblPrEx>
          <w:shd w:val="clear" w:color="auto" w:fill="CDD4E9"/>
        </w:tblPrEx>
        <w:trPr>
          <w:trHeight w:val="240"/>
        </w:trPr>
        <w:tc>
          <w:tcPr>
            <w:tcW w:w="3653" w:type="dxa"/>
            <w:tcBorders>
              <w:top w:val="single" w:sz="8" w:space="0" w:color="000000"/>
              <w:left w:val="nil"/>
              <w:bottom w:val="nil"/>
              <w:right w:val="single" w:sz="4" w:space="0" w:color="000000"/>
            </w:tcBorders>
            <w:shd w:val="clear" w:color="auto" w:fill="FFFFFF"/>
            <w:tcMar>
              <w:top w:w="80" w:type="dxa"/>
              <w:left w:w="80" w:type="dxa"/>
              <w:bottom w:w="80" w:type="dxa"/>
              <w:right w:w="80" w:type="dxa"/>
            </w:tcMar>
          </w:tcPr>
          <w:p w14:paraId="0FC9DCCF"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Taxa de evasão</w:t>
            </w:r>
          </w:p>
        </w:tc>
        <w:tc>
          <w:tcPr>
            <w:tcW w:w="1592" w:type="dxa"/>
            <w:tcBorders>
              <w:top w:val="single" w:sz="8" w:space="0" w:color="000000"/>
              <w:left w:val="single" w:sz="4" w:space="0" w:color="000000"/>
              <w:bottom w:val="nil"/>
              <w:right w:val="nil"/>
            </w:tcBorders>
            <w:shd w:val="clear" w:color="auto" w:fill="auto"/>
            <w:tcMar>
              <w:top w:w="80" w:type="dxa"/>
              <w:left w:w="80" w:type="dxa"/>
              <w:bottom w:w="80" w:type="dxa"/>
              <w:right w:w="80" w:type="dxa"/>
            </w:tcMar>
            <w:vAlign w:val="center"/>
          </w:tcPr>
          <w:p w14:paraId="4E28B29C"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63,0</w:t>
            </w:r>
          </w:p>
        </w:tc>
      </w:tr>
      <w:tr w:rsidR="009A1C3E" w:rsidRPr="009A1C3E" w14:paraId="3EC0D592" w14:textId="77777777" w:rsidTr="000D52FB">
        <w:tblPrEx>
          <w:shd w:val="clear" w:color="auto" w:fill="CDD4E9"/>
        </w:tblPrEx>
        <w:trPr>
          <w:trHeight w:val="240"/>
        </w:trPr>
        <w:tc>
          <w:tcPr>
            <w:tcW w:w="3653" w:type="dxa"/>
            <w:tcBorders>
              <w:top w:val="nil"/>
              <w:left w:val="nil"/>
              <w:bottom w:val="nil"/>
              <w:right w:val="single" w:sz="4" w:space="0" w:color="000000"/>
            </w:tcBorders>
            <w:shd w:val="clear" w:color="auto" w:fill="FFFFFF"/>
            <w:tcMar>
              <w:top w:w="80" w:type="dxa"/>
              <w:left w:w="80" w:type="dxa"/>
              <w:bottom w:w="80" w:type="dxa"/>
              <w:right w:w="80" w:type="dxa"/>
            </w:tcMar>
          </w:tcPr>
          <w:p w14:paraId="128D815F"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Taxa de retenção</w:t>
            </w:r>
          </w:p>
        </w:tc>
        <w:tc>
          <w:tcPr>
            <w:tcW w:w="159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59A8E0B1"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11,0</w:t>
            </w:r>
          </w:p>
        </w:tc>
      </w:tr>
      <w:tr w:rsidR="009A1C3E" w:rsidRPr="009A1C3E" w14:paraId="62FAB64B" w14:textId="77777777" w:rsidTr="000D52FB">
        <w:tblPrEx>
          <w:shd w:val="clear" w:color="auto" w:fill="CDD4E9"/>
        </w:tblPrEx>
        <w:trPr>
          <w:trHeight w:val="240"/>
        </w:trPr>
        <w:tc>
          <w:tcPr>
            <w:tcW w:w="3653" w:type="dxa"/>
            <w:tcBorders>
              <w:top w:val="nil"/>
              <w:left w:val="nil"/>
              <w:bottom w:val="nil"/>
              <w:right w:val="single" w:sz="4" w:space="0" w:color="000000"/>
            </w:tcBorders>
            <w:shd w:val="clear" w:color="auto" w:fill="FFFFFF"/>
            <w:tcMar>
              <w:top w:w="80" w:type="dxa"/>
              <w:left w:w="80" w:type="dxa"/>
              <w:bottom w:w="80" w:type="dxa"/>
              <w:right w:w="80" w:type="dxa"/>
            </w:tcMar>
          </w:tcPr>
          <w:p w14:paraId="06CE11C4"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Taxa de trancamento</w:t>
            </w:r>
          </w:p>
        </w:tc>
        <w:tc>
          <w:tcPr>
            <w:tcW w:w="1592"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2A8C49DF" w14:textId="0F8CE64C"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9,</w:t>
            </w:r>
            <w:r w:rsidR="00F85E9B">
              <w:rPr>
                <w:rFonts w:ascii="Calibri" w:eastAsia="Calibri" w:hAnsi="Calibri" w:cs="Calibri"/>
                <w:color w:val="000000"/>
                <w:u w:color="000000"/>
                <w:lang w:val="pt-PT"/>
              </w:rPr>
              <w:t>0</w:t>
            </w:r>
          </w:p>
        </w:tc>
      </w:tr>
      <w:tr w:rsidR="009A1C3E" w:rsidRPr="009A1C3E" w14:paraId="6CA5B7EF" w14:textId="77777777" w:rsidTr="000D52FB">
        <w:tblPrEx>
          <w:shd w:val="clear" w:color="auto" w:fill="CDD4E9"/>
        </w:tblPrEx>
        <w:trPr>
          <w:trHeight w:val="382"/>
        </w:trPr>
        <w:tc>
          <w:tcPr>
            <w:tcW w:w="3653" w:type="dxa"/>
            <w:tcBorders>
              <w:top w:val="nil"/>
              <w:left w:val="nil"/>
              <w:bottom w:val="nil"/>
              <w:right w:val="single" w:sz="4" w:space="0" w:color="000000"/>
            </w:tcBorders>
            <w:shd w:val="clear" w:color="auto" w:fill="FFFFFF"/>
            <w:tcMar>
              <w:top w:w="80" w:type="dxa"/>
              <w:left w:w="80" w:type="dxa"/>
              <w:bottom w:w="80" w:type="dxa"/>
              <w:right w:w="80" w:type="dxa"/>
            </w:tcMar>
          </w:tcPr>
          <w:p w14:paraId="4730439F" w14:textId="77777777" w:rsidR="009A1C3E" w:rsidRPr="009A1C3E" w:rsidRDefault="009A1C3E" w:rsidP="009A1C3E">
            <w:pPr>
              <w:jc w:val="both"/>
              <w:rPr>
                <w:rFonts w:cs="Arial Unicode MS"/>
                <w:color w:val="000000"/>
                <w:sz w:val="24"/>
                <w:szCs w:val="24"/>
                <w:u w:color="000000"/>
                <w:lang w:val="pt-PT"/>
              </w:rPr>
            </w:pPr>
            <w:r w:rsidRPr="009A1C3E">
              <w:rPr>
                <w:rFonts w:ascii="Calibri" w:eastAsia="Calibri" w:hAnsi="Calibri" w:cs="Calibri"/>
                <w:color w:val="000000"/>
                <w:u w:color="000000"/>
                <w:lang w:val="pt-PT"/>
              </w:rPr>
              <w:t>Índice de reprovação nas disciplinas da área de Matemática</w:t>
            </w:r>
          </w:p>
        </w:tc>
        <w:tc>
          <w:tcPr>
            <w:tcW w:w="1592" w:type="dxa"/>
            <w:tcBorders>
              <w:top w:val="nil"/>
              <w:left w:val="single" w:sz="4" w:space="0" w:color="000000"/>
              <w:bottom w:val="nil"/>
              <w:right w:val="nil"/>
            </w:tcBorders>
            <w:shd w:val="clear" w:color="auto" w:fill="FFFFFF"/>
            <w:tcMar>
              <w:top w:w="80" w:type="dxa"/>
              <w:left w:w="80" w:type="dxa"/>
              <w:bottom w:w="80" w:type="dxa"/>
              <w:right w:w="80" w:type="dxa"/>
            </w:tcMar>
            <w:vAlign w:val="center"/>
          </w:tcPr>
          <w:p w14:paraId="219F059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9,0</w:t>
            </w:r>
          </w:p>
        </w:tc>
      </w:tr>
      <w:tr w:rsidR="009A1C3E" w:rsidRPr="009A1C3E" w14:paraId="3471B5F7" w14:textId="77777777" w:rsidTr="000D52FB">
        <w:tblPrEx>
          <w:shd w:val="clear" w:color="auto" w:fill="CDD4E9"/>
        </w:tblPrEx>
        <w:trPr>
          <w:trHeight w:val="240"/>
        </w:trPr>
        <w:tc>
          <w:tcPr>
            <w:tcW w:w="3653" w:type="dxa"/>
            <w:tcBorders>
              <w:top w:val="nil"/>
              <w:left w:val="nil"/>
              <w:bottom w:val="nil"/>
              <w:right w:val="single" w:sz="4" w:space="0" w:color="000000"/>
            </w:tcBorders>
            <w:shd w:val="clear" w:color="auto" w:fill="FFFFFF"/>
            <w:tcMar>
              <w:top w:w="80" w:type="dxa"/>
              <w:left w:w="80" w:type="dxa"/>
              <w:bottom w:w="80" w:type="dxa"/>
              <w:right w:w="80" w:type="dxa"/>
            </w:tcMar>
            <w:vAlign w:val="center"/>
          </w:tcPr>
          <w:p w14:paraId="2C8E3C5E"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color w:val="000000"/>
                <w:u w:color="000000"/>
                <w:lang w:val="pt-PT"/>
              </w:rPr>
              <w:t xml:space="preserve">Número de alunos evadidos </w:t>
            </w:r>
          </w:p>
        </w:tc>
        <w:tc>
          <w:tcPr>
            <w:tcW w:w="1592"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7AEB56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color w:val="000000"/>
                <w:u w:color="000000"/>
                <w:lang w:val="pt-PT"/>
              </w:rPr>
              <w:t>8,0</w:t>
            </w:r>
          </w:p>
        </w:tc>
      </w:tr>
      <w:tr w:rsidR="009A1C3E" w:rsidRPr="009A1C3E" w14:paraId="02748AC8" w14:textId="77777777" w:rsidTr="000D52FB">
        <w:tblPrEx>
          <w:shd w:val="clear" w:color="auto" w:fill="CDD4E9"/>
        </w:tblPrEx>
        <w:trPr>
          <w:trHeight w:val="240"/>
        </w:trPr>
        <w:tc>
          <w:tcPr>
            <w:tcW w:w="3653" w:type="dxa"/>
            <w:tcBorders>
              <w:top w:val="nil"/>
              <w:left w:val="nil"/>
              <w:bottom w:val="single" w:sz="8" w:space="0" w:color="000000"/>
              <w:right w:val="single" w:sz="4" w:space="0" w:color="000000"/>
            </w:tcBorders>
            <w:shd w:val="clear" w:color="auto" w:fill="FFFFFF"/>
            <w:tcMar>
              <w:top w:w="80" w:type="dxa"/>
              <w:left w:w="80" w:type="dxa"/>
              <w:bottom w:w="80" w:type="dxa"/>
              <w:right w:w="80" w:type="dxa"/>
            </w:tcMar>
            <w:vAlign w:val="bottom"/>
          </w:tcPr>
          <w:p w14:paraId="095E8925" w14:textId="77777777" w:rsidR="009A1C3E" w:rsidRPr="009A1C3E" w:rsidRDefault="009A1C3E" w:rsidP="009A1C3E">
            <w:pPr>
              <w:rPr>
                <w:rFonts w:cs="Arial Unicode MS"/>
                <w:color w:val="000000"/>
                <w:sz w:val="24"/>
                <w:szCs w:val="24"/>
                <w:u w:color="000000"/>
                <w:lang w:val="pt-PT"/>
              </w:rPr>
            </w:pPr>
            <w:r w:rsidRPr="009A1C3E">
              <w:rPr>
                <w:rFonts w:ascii="Calibri" w:eastAsia="Calibri" w:hAnsi="Calibri" w:cs="Calibri"/>
                <w:b/>
                <w:bCs/>
                <w:color w:val="000000"/>
                <w:u w:color="000000"/>
                <w:lang w:val="pt-PT"/>
              </w:rPr>
              <w:t>TOTAL</w:t>
            </w:r>
          </w:p>
        </w:tc>
        <w:tc>
          <w:tcPr>
            <w:tcW w:w="1592" w:type="dxa"/>
            <w:tcBorders>
              <w:top w:val="nil"/>
              <w:left w:val="single" w:sz="4" w:space="0" w:color="000000"/>
              <w:bottom w:val="single" w:sz="8" w:space="0" w:color="000000"/>
              <w:right w:val="nil"/>
            </w:tcBorders>
            <w:shd w:val="clear" w:color="auto" w:fill="FFFFFF"/>
            <w:tcMar>
              <w:top w:w="80" w:type="dxa"/>
              <w:left w:w="80" w:type="dxa"/>
              <w:bottom w:w="80" w:type="dxa"/>
              <w:right w:w="80" w:type="dxa"/>
            </w:tcMar>
            <w:vAlign w:val="center"/>
          </w:tcPr>
          <w:p w14:paraId="0ABFFDB4" w14:textId="77777777" w:rsidR="009A1C3E" w:rsidRPr="009A1C3E" w:rsidRDefault="009A1C3E" w:rsidP="009A1C3E">
            <w:pPr>
              <w:jc w:val="center"/>
              <w:rPr>
                <w:rFonts w:cs="Arial Unicode MS"/>
                <w:color w:val="000000"/>
                <w:sz w:val="24"/>
                <w:szCs w:val="24"/>
                <w:u w:color="000000"/>
                <w:lang w:val="pt-PT"/>
              </w:rPr>
            </w:pPr>
            <w:r w:rsidRPr="009A1C3E">
              <w:rPr>
                <w:rFonts w:ascii="Calibri" w:eastAsia="Calibri" w:hAnsi="Calibri" w:cs="Calibri"/>
                <w:b/>
                <w:bCs/>
                <w:color w:val="000000"/>
                <w:u w:color="000000"/>
                <w:lang w:val="pt-PT"/>
              </w:rPr>
              <w:t>100,0</w:t>
            </w:r>
          </w:p>
        </w:tc>
      </w:tr>
    </w:tbl>
    <w:p w14:paraId="3BEFE65D" w14:textId="65317DDC" w:rsidR="009A1C3E" w:rsidRPr="009A1C3E" w:rsidRDefault="00F85E9B" w:rsidP="009A1C3E">
      <w:pPr>
        <w:widowControl w:val="0"/>
        <w:pBdr>
          <w:top w:val="nil"/>
          <w:left w:val="nil"/>
          <w:bottom w:val="nil"/>
          <w:right w:val="nil"/>
          <w:between w:val="nil"/>
          <w:bar w:val="nil"/>
        </w:pBdr>
        <w:suppressAutoHyphens/>
        <w:spacing w:after="120"/>
        <w:ind w:left="2835" w:hanging="108"/>
        <w:rPr>
          <w:rFonts w:ascii="Calibri" w:eastAsia="Calibri" w:hAnsi="Calibri" w:cs="Calibri"/>
          <w:color w:val="000000"/>
          <w:sz w:val="20"/>
          <w:szCs w:val="20"/>
          <w:u w:color="000000"/>
          <w:bdr w:val="nil"/>
          <w:lang w:val="pt-PT" w:eastAsia="pt-BR"/>
        </w:rPr>
      </w:pPr>
      <w:r>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 xml:space="preserve">    </w:t>
      </w:r>
      <w:r>
        <w:rPr>
          <w:rFonts w:ascii="Calibri" w:eastAsia="Calibri" w:hAnsi="Calibri" w:cs="Calibri"/>
          <w:color w:val="000000"/>
          <w:sz w:val="20"/>
          <w:szCs w:val="20"/>
          <w:u w:color="000000"/>
          <w:bdr w:val="nil"/>
          <w:lang w:val="pt-PT" w:eastAsia="pt-BR"/>
        </w:rPr>
        <w:t xml:space="preserve">              </w:t>
      </w:r>
      <w:r w:rsidR="009A1C3E" w:rsidRPr="009A1C3E">
        <w:rPr>
          <w:rFonts w:ascii="Calibri" w:eastAsia="Calibri" w:hAnsi="Calibri" w:cs="Calibri"/>
          <w:color w:val="000000"/>
          <w:sz w:val="20"/>
          <w:szCs w:val="20"/>
          <w:u w:color="000000"/>
          <w:bdr w:val="nil"/>
          <w:lang w:val="pt-PT" w:eastAsia="pt-BR"/>
        </w:rPr>
        <w:t>Fonte: Elaboração dos autores.</w:t>
      </w:r>
    </w:p>
    <w:p w14:paraId="7D6551ED" w14:textId="255E84B8"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Na Tabela 9, a subcategoria que mais apareceu refere-se à taxa de evasão, com 63% das </w:t>
      </w:r>
      <w:r w:rsidR="00A97345">
        <w:rPr>
          <w:rFonts w:ascii="Calibri" w:eastAsia="Calibri" w:hAnsi="Calibri" w:cs="Calibri"/>
          <w:color w:val="FF0000"/>
          <w:u w:color="FF0000"/>
          <w:bdr w:val="nil"/>
          <w:lang w:val="pt-PT" w:eastAsia="pt-BR"/>
        </w:rPr>
        <w:t>frases</w:t>
      </w:r>
      <w:r w:rsidRPr="009A1C3E">
        <w:rPr>
          <w:rFonts w:ascii="Calibri" w:eastAsia="Calibri" w:hAnsi="Calibri" w:cs="Calibri"/>
          <w:color w:val="000000"/>
          <w:u w:color="FF0000"/>
          <w:bdr w:val="nil"/>
          <w:lang w:val="pt-PT" w:eastAsia="pt-BR"/>
        </w:rPr>
        <w:t xml:space="preserve"> destacadas nos artigos analisados. Cabe destacar que a subcategoria taxa de retenção refere-se aos alunos que ficaram retidos no ciclo letivo.</w:t>
      </w:r>
    </w:p>
    <w:p w14:paraId="04D11995" w14:textId="507B4745" w:rsidR="0036434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FF0000"/>
          <w:u w:color="000000"/>
          <w:bdr w:val="nil"/>
          <w:lang w:val="pt-PT" w:eastAsia="pt-BR"/>
        </w:rPr>
      </w:pPr>
      <w:r w:rsidRPr="009A1C3E">
        <w:rPr>
          <w:rFonts w:ascii="Calibri" w:eastAsia="Calibri" w:hAnsi="Calibri" w:cs="Calibri"/>
          <w:color w:val="000000"/>
          <w:u w:color="000000"/>
          <w:bdr w:val="nil"/>
          <w:lang w:val="pt-PT" w:eastAsia="pt-BR"/>
        </w:rPr>
        <w:t>Para cada uma das subcategorias descritas na Tabela 9</w:t>
      </w:r>
      <w:r w:rsidR="0036434E">
        <w:rPr>
          <w:rFonts w:ascii="Calibri" w:eastAsia="Calibri" w:hAnsi="Calibri" w:cs="Calibri"/>
          <w:color w:val="000000"/>
          <w:u w:color="000000"/>
          <w:bdr w:val="nil"/>
          <w:lang w:val="pt-PT" w:eastAsia="pt-BR"/>
        </w:rPr>
        <w:t xml:space="preserve">, exceção feita ao número de alunos evadidos, </w:t>
      </w:r>
      <w:r w:rsidRPr="009A1C3E">
        <w:rPr>
          <w:rFonts w:ascii="Calibri" w:eastAsia="Calibri" w:hAnsi="Calibri" w:cs="Calibri"/>
          <w:color w:val="000000"/>
          <w:u w:color="000000"/>
          <w:bdr w:val="nil"/>
          <w:lang w:val="pt-PT" w:eastAsia="pt-BR"/>
        </w:rPr>
        <w:t>fo</w:t>
      </w:r>
      <w:r w:rsidR="0036434E">
        <w:rPr>
          <w:rFonts w:ascii="Calibri" w:eastAsia="Calibri" w:hAnsi="Calibri" w:cs="Calibri"/>
          <w:color w:val="000000"/>
          <w:u w:color="000000"/>
          <w:bdr w:val="nil"/>
          <w:lang w:val="pt-PT" w:eastAsia="pt-BR"/>
        </w:rPr>
        <w:t xml:space="preserve">i construída uma tabela com os resultados encontrados. </w:t>
      </w:r>
      <w:r w:rsidR="0036434E" w:rsidRPr="0036434E">
        <w:rPr>
          <w:rFonts w:ascii="Calibri" w:eastAsia="Calibri" w:hAnsi="Calibri" w:cs="Calibri"/>
          <w:color w:val="FF0000"/>
          <w:u w:color="000000"/>
          <w:bdr w:val="nil"/>
          <w:lang w:val="pt-PT" w:eastAsia="pt-BR"/>
        </w:rPr>
        <w:t xml:space="preserve">Novamente, reforçamos que os </w:t>
      </w:r>
      <w:r w:rsidR="0036434E">
        <w:rPr>
          <w:rFonts w:ascii="Calibri" w:eastAsia="Calibri" w:hAnsi="Calibri" w:cs="Calibri"/>
          <w:color w:val="FF0000"/>
          <w:u w:color="000000"/>
          <w:bdr w:val="nil"/>
          <w:lang w:val="pt-PT" w:eastAsia="pt-BR"/>
        </w:rPr>
        <w:t xml:space="preserve">percentuais associados </w:t>
      </w:r>
      <w:r w:rsidR="00D66222">
        <w:rPr>
          <w:rFonts w:ascii="Calibri" w:eastAsia="Calibri" w:hAnsi="Calibri" w:cs="Calibri"/>
          <w:color w:val="FF0000"/>
          <w:u w:color="000000"/>
          <w:bdr w:val="nil"/>
          <w:lang w:val="pt-PT" w:eastAsia="pt-BR"/>
        </w:rPr>
        <w:t xml:space="preserve">às taxas que aparecem nas Tabelas 10, 11, 12 e 13 referem-se aos totais de artigos classificados, </w:t>
      </w:r>
      <w:r w:rsidR="00D66222">
        <w:rPr>
          <w:rFonts w:ascii="Calibri" w:eastAsia="Calibri" w:hAnsi="Calibri" w:cs="Calibri"/>
          <w:color w:val="FF0000"/>
          <w:u w:color="000000"/>
          <w:bdr w:val="nil"/>
          <w:lang w:val="pt-PT" w:eastAsia="pt-BR"/>
        </w:rPr>
        <w:lastRenderedPageBreak/>
        <w:t xml:space="preserve">respectivamente, nas subcategorias taxa de evasão, taxa de retenção, taxa de trancamento e índice de reprovação nas disciplinas da área de Matemática. </w:t>
      </w:r>
    </w:p>
    <w:p w14:paraId="64A6D344" w14:textId="7CDA379A" w:rsidR="00AF618F" w:rsidRDefault="00AF618F"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FF0000"/>
          <w:u w:color="000000"/>
          <w:bdr w:val="nil"/>
          <w:lang w:val="pt-PT" w:eastAsia="pt-BR"/>
        </w:rPr>
      </w:pPr>
      <w:r>
        <w:rPr>
          <w:rFonts w:ascii="Calibri" w:eastAsia="Calibri" w:hAnsi="Calibri" w:cs="Calibri"/>
          <w:color w:val="FF0000"/>
          <w:u w:color="000000"/>
          <w:bdr w:val="nil"/>
          <w:lang w:val="pt-PT" w:eastAsia="pt-BR"/>
        </w:rPr>
        <w:t xml:space="preserve">Nas leituras associadas à categoria índice não direcionamos o olhar para o modelo utilizado para o cálculo das taxas, índices </w:t>
      </w:r>
      <w:r w:rsidR="006758AE">
        <w:rPr>
          <w:rFonts w:ascii="Calibri" w:eastAsia="Calibri" w:hAnsi="Calibri" w:cs="Calibri"/>
          <w:color w:val="FF0000"/>
          <w:u w:color="000000"/>
          <w:bdr w:val="nil"/>
          <w:lang w:val="pt-PT" w:eastAsia="pt-BR"/>
        </w:rPr>
        <w:t>ou</w:t>
      </w:r>
      <w:r>
        <w:rPr>
          <w:rFonts w:ascii="Calibri" w:eastAsia="Calibri" w:hAnsi="Calibri" w:cs="Calibri"/>
          <w:color w:val="FF0000"/>
          <w:u w:color="000000"/>
          <w:bdr w:val="nil"/>
          <w:lang w:val="pt-PT" w:eastAsia="pt-BR"/>
        </w:rPr>
        <w:t xml:space="preserve"> número de evadidos, </w:t>
      </w:r>
      <w:r w:rsidR="006758AE">
        <w:rPr>
          <w:rFonts w:ascii="Calibri" w:eastAsia="Calibri" w:hAnsi="Calibri" w:cs="Calibri"/>
          <w:color w:val="FF0000"/>
          <w:u w:color="000000"/>
          <w:bdr w:val="nil"/>
          <w:lang w:val="pt-PT" w:eastAsia="pt-BR"/>
        </w:rPr>
        <w:t xml:space="preserve">porque </w:t>
      </w:r>
      <w:r>
        <w:rPr>
          <w:rFonts w:ascii="Calibri" w:eastAsia="Calibri" w:hAnsi="Calibri" w:cs="Calibri"/>
          <w:color w:val="FF0000"/>
          <w:u w:color="000000"/>
          <w:bdr w:val="nil"/>
          <w:lang w:val="pt-PT" w:eastAsia="pt-BR"/>
        </w:rPr>
        <w:t xml:space="preserve">o nosso objetivo era </w:t>
      </w:r>
      <w:r w:rsidR="006758AE">
        <w:rPr>
          <w:rFonts w:ascii="Calibri" w:eastAsia="Calibri" w:hAnsi="Calibri" w:cs="Calibri"/>
          <w:color w:val="FF0000"/>
          <w:u w:color="000000"/>
          <w:bdr w:val="nil"/>
          <w:lang w:val="pt-PT" w:eastAsia="pt-BR"/>
        </w:rPr>
        <w:t xml:space="preserve">extrair </w:t>
      </w:r>
      <w:r>
        <w:rPr>
          <w:rFonts w:ascii="Calibri" w:eastAsia="Calibri" w:hAnsi="Calibri" w:cs="Calibri"/>
          <w:color w:val="FF0000"/>
          <w:u w:color="000000"/>
          <w:bdr w:val="nil"/>
          <w:lang w:val="pt-PT" w:eastAsia="pt-BR"/>
        </w:rPr>
        <w:t xml:space="preserve">os percentuais e o valor absoluto associado às subcategorias. </w:t>
      </w:r>
    </w:p>
    <w:p w14:paraId="246A12B0" w14:textId="54359B6F" w:rsidR="00AF618F" w:rsidRPr="00AF618F" w:rsidRDefault="00AF618F" w:rsidP="003201AE">
      <w:pPr>
        <w:pBdr>
          <w:top w:val="nil"/>
          <w:left w:val="nil"/>
          <w:bottom w:val="nil"/>
          <w:right w:val="nil"/>
          <w:between w:val="nil"/>
          <w:bar w:val="nil"/>
        </w:pBdr>
        <w:suppressAutoHyphens/>
        <w:spacing w:after="120"/>
        <w:ind w:left="2835" w:firstLine="426"/>
        <w:jc w:val="both"/>
        <w:rPr>
          <w:rFonts w:ascii="Calibri" w:eastAsia="Calibri" w:hAnsi="Calibri" w:cs="Calibri"/>
          <w:color w:val="FF0000"/>
          <w:u w:color="000000"/>
          <w:bdr w:val="nil"/>
          <w:lang w:val="pt-PT" w:eastAsia="pt-BR"/>
        </w:rPr>
      </w:pPr>
      <w:r>
        <w:rPr>
          <w:rFonts w:ascii="Calibri" w:eastAsia="Calibri" w:hAnsi="Calibri" w:cs="Calibri"/>
          <w:color w:val="FF0000"/>
          <w:u w:color="000000"/>
          <w:bdr w:val="nil"/>
          <w:lang w:val="pt-PT" w:eastAsia="pt-BR"/>
        </w:rPr>
        <w:t xml:space="preserve"> </w:t>
      </w:r>
      <w:r w:rsidR="003201AE">
        <w:rPr>
          <w:rFonts w:ascii="Calibri" w:eastAsia="Calibri" w:hAnsi="Calibri" w:cs="Calibri"/>
          <w:color w:val="FF0000"/>
          <w:u w:color="000000"/>
          <w:bdr w:val="nil"/>
          <w:lang w:val="pt-PT" w:eastAsia="pt-BR"/>
        </w:rPr>
        <w:t xml:space="preserve">Posto isso, na Tabela 10 construímos classes de frequências para as taxas de evasão, das quais destacam-se as três primeiras: de 6% a 18,2% (35%), de 18,2% a 30,4% (29,5%), e de 30,4% a 42,6% (17,5%).  </w:t>
      </w:r>
    </w:p>
    <w:p w14:paraId="5F9009F5" w14:textId="31E140D1" w:rsidR="009A1C3E" w:rsidRPr="009A1C3E" w:rsidRDefault="009A1C3E" w:rsidP="000D52FB">
      <w:pPr>
        <w:pBdr>
          <w:top w:val="nil"/>
          <w:left w:val="nil"/>
          <w:bottom w:val="nil"/>
          <w:right w:val="nil"/>
          <w:between w:val="nil"/>
          <w:bar w:val="nil"/>
        </w:pBdr>
        <w:suppressAutoHyphens/>
        <w:spacing w:before="40" w:after="240"/>
        <w:ind w:left="2835" w:firstLine="709"/>
        <w:jc w:val="center"/>
        <w:rPr>
          <w:rFonts w:ascii="Calibri" w:eastAsia="Calibri" w:hAnsi="Calibri" w:cs="Calibri"/>
          <w:color w:val="000000"/>
          <w:sz w:val="20"/>
          <w:szCs w:val="20"/>
          <w:u w:color="000000"/>
          <w:bdr w:val="nil"/>
          <w:lang w:val="pt-PT" w:eastAsia="pt-BR"/>
        </w:rPr>
      </w:pPr>
      <w:bookmarkStart w:id="1" w:name="_Hlk519273904"/>
      <w:r w:rsidRPr="009A1C3E">
        <w:rPr>
          <w:rFonts w:ascii="Calibri" w:eastAsia="Calibri" w:hAnsi="Calibri" w:cs="Calibri"/>
          <w:color w:val="000000"/>
          <w:sz w:val="20"/>
          <w:szCs w:val="20"/>
          <w:u w:color="000000"/>
          <w:bdr w:val="nil"/>
          <w:lang w:val="nl-NL" w:eastAsia="pt-BR"/>
        </w:rPr>
        <w:t xml:space="preserve">Tabela 10 </w:t>
      </w:r>
      <w:r w:rsidR="00D66222">
        <w:rPr>
          <w:rFonts w:ascii="Calibri" w:eastAsia="Calibri" w:hAnsi="Calibri" w:cs="Calibri"/>
          <w:color w:val="000000"/>
          <w:sz w:val="20"/>
          <w:szCs w:val="20"/>
          <w:u w:color="000000"/>
          <w:bdr w:val="nil"/>
          <w:lang w:val="nl-NL" w:eastAsia="pt-BR"/>
        </w:rPr>
        <w:t>–</w:t>
      </w:r>
      <w:r w:rsidRPr="009A1C3E">
        <w:rPr>
          <w:rFonts w:ascii="Calibri" w:eastAsia="Calibri" w:hAnsi="Calibri" w:cs="Calibri"/>
          <w:color w:val="000000"/>
          <w:sz w:val="20"/>
          <w:szCs w:val="20"/>
          <w:u w:color="000000"/>
          <w:bdr w:val="nil"/>
          <w:lang w:val="nl-NL" w:eastAsia="pt-BR"/>
        </w:rPr>
        <w:t xml:space="preserve"> </w:t>
      </w:r>
      <w:r w:rsidR="00D66222">
        <w:rPr>
          <w:rFonts w:ascii="Calibri" w:eastAsia="Calibri" w:hAnsi="Calibri" w:cs="Calibri"/>
          <w:color w:val="000000"/>
          <w:sz w:val="20"/>
          <w:szCs w:val="20"/>
          <w:u w:color="000000"/>
          <w:bdr w:val="nil"/>
          <w:lang w:val="nl-NL" w:eastAsia="pt-BR"/>
        </w:rPr>
        <w:t>Taxas associadas à</w:t>
      </w:r>
      <w:r w:rsidRPr="009A1C3E">
        <w:rPr>
          <w:rFonts w:ascii="Calibri" w:eastAsia="Calibri" w:hAnsi="Calibri" w:cs="Calibri"/>
          <w:color w:val="000000"/>
          <w:sz w:val="20"/>
          <w:szCs w:val="20"/>
          <w:u w:color="000000"/>
          <w:bdr w:val="nil"/>
          <w:lang w:val="pt-PT" w:eastAsia="pt-BR"/>
        </w:rPr>
        <w:t xml:space="preserve"> subcategoria</w:t>
      </w:r>
      <w:r w:rsidR="00D66222">
        <w:rPr>
          <w:rFonts w:ascii="Calibri" w:eastAsia="Calibri" w:hAnsi="Calibri" w:cs="Calibri"/>
          <w:color w:val="000000"/>
          <w:sz w:val="20"/>
          <w:szCs w:val="20"/>
          <w:u w:color="000000"/>
          <w:bdr w:val="nil"/>
          <w:lang w:val="pt-PT" w:eastAsia="pt-BR"/>
        </w:rPr>
        <w:t xml:space="preserve"> taxa de evasão</w:t>
      </w:r>
    </w:p>
    <w:tbl>
      <w:tblPr>
        <w:tblStyle w:val="TableNormal"/>
        <w:tblW w:w="5069" w:type="dxa"/>
        <w:tblInd w:w="43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32"/>
        <w:gridCol w:w="2337"/>
      </w:tblGrid>
      <w:tr w:rsidR="00D66222" w:rsidRPr="009A1C3E" w14:paraId="4B2339DF" w14:textId="77777777" w:rsidTr="000D52FB">
        <w:trPr>
          <w:trHeight w:val="230"/>
        </w:trPr>
        <w:tc>
          <w:tcPr>
            <w:tcW w:w="273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DAE20F" w14:textId="6E81247E" w:rsidR="00D66222" w:rsidRPr="009A1C3E" w:rsidRDefault="00D66222" w:rsidP="009A1C3E">
            <w:pPr>
              <w:jc w:val="center"/>
              <w:rPr>
                <w:rFonts w:cs="Arial Unicode MS"/>
                <w:color w:val="000000"/>
                <w:sz w:val="24"/>
                <w:szCs w:val="24"/>
                <w:u w:color="000000"/>
                <w:lang w:val="pt-PT"/>
              </w:rPr>
            </w:pPr>
            <w:r>
              <w:rPr>
                <w:rFonts w:ascii="Calibri" w:eastAsia="Calibri" w:hAnsi="Calibri" w:cs="Calibri"/>
                <w:b/>
                <w:bCs/>
                <w:color w:val="000000"/>
                <w:u w:color="000000"/>
                <w:lang w:val="pt-PT"/>
              </w:rPr>
              <w:t>Classes (%)</w:t>
            </w:r>
            <w:r w:rsidRPr="009A1C3E">
              <w:rPr>
                <w:rFonts w:ascii="Calibri" w:eastAsia="Calibri" w:hAnsi="Calibri" w:cs="Calibri"/>
                <w:b/>
                <w:bCs/>
                <w:color w:val="000000"/>
                <w:u w:color="000000"/>
                <w:lang w:val="pt-PT"/>
              </w:rPr>
              <w:t xml:space="preserve"> </w:t>
            </w:r>
          </w:p>
        </w:tc>
        <w:tc>
          <w:tcPr>
            <w:tcW w:w="233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78457A6" w14:textId="54D1EBCB" w:rsidR="00D66222" w:rsidRPr="009A1C3E" w:rsidRDefault="00D66222" w:rsidP="009A1C3E">
            <w:pPr>
              <w:jc w:val="center"/>
              <w:rPr>
                <w:rFonts w:cs="Arial Unicode MS"/>
                <w:color w:val="000000"/>
                <w:sz w:val="24"/>
                <w:szCs w:val="24"/>
                <w:u w:color="000000"/>
                <w:lang w:val="pt-PT"/>
              </w:rPr>
            </w:pPr>
            <w:r>
              <w:rPr>
                <w:rFonts w:ascii="Calibri" w:eastAsia="Calibri" w:hAnsi="Calibri" w:cs="Calibri"/>
                <w:b/>
                <w:bCs/>
                <w:color w:val="000000"/>
                <w:u w:color="000000"/>
                <w:lang w:val="pt-PT"/>
              </w:rPr>
              <w:t>Porcentagem (%)</w:t>
            </w:r>
            <w:r w:rsidRPr="009A1C3E">
              <w:rPr>
                <w:rFonts w:ascii="Calibri" w:eastAsia="Calibri" w:hAnsi="Calibri" w:cs="Calibri"/>
                <w:b/>
                <w:bCs/>
                <w:color w:val="000000"/>
                <w:u w:color="000000"/>
                <w:lang w:val="pt-PT"/>
              </w:rPr>
              <w:t xml:space="preserve"> </w:t>
            </w:r>
          </w:p>
        </w:tc>
      </w:tr>
      <w:tr w:rsidR="00D66222" w:rsidRPr="009A1C3E" w14:paraId="71DC7A96" w14:textId="77777777" w:rsidTr="000D52FB">
        <w:trPr>
          <w:trHeight w:val="225"/>
        </w:trPr>
        <w:tc>
          <w:tcPr>
            <w:tcW w:w="2732"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216FED31" w14:textId="4F2BD238"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6 a 18,2</w:t>
            </w:r>
            <w:r w:rsidRPr="009A1C3E">
              <w:rPr>
                <w:rFonts w:ascii="Calibri" w:eastAsia="Calibri" w:hAnsi="Calibri" w:cs="Calibri"/>
                <w:color w:val="000000"/>
                <w:u w:color="000000"/>
                <w:lang w:val="pt-PT"/>
              </w:rPr>
              <w:t xml:space="preserve"> </w:t>
            </w:r>
          </w:p>
        </w:tc>
        <w:tc>
          <w:tcPr>
            <w:tcW w:w="233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215FC385" w14:textId="6A0B4654" w:rsidR="00D66222" w:rsidRPr="009A1C3E" w:rsidRDefault="00D66222" w:rsidP="009A1C3E">
            <w:pPr>
              <w:jc w:val="center"/>
              <w:rPr>
                <w:rFonts w:cs="Arial Unicode MS"/>
                <w:color w:val="000000"/>
                <w:sz w:val="24"/>
                <w:szCs w:val="24"/>
                <w:u w:color="000000"/>
                <w:lang w:val="pt-PT"/>
              </w:rPr>
            </w:pPr>
            <w:r w:rsidRPr="00D66222">
              <w:rPr>
                <w:rFonts w:ascii="Calibri" w:eastAsia="Calibri" w:hAnsi="Calibri" w:cs="Calibri"/>
                <w:color w:val="000000"/>
                <w:u w:color="000000"/>
                <w:lang w:val="pt-PT"/>
              </w:rPr>
              <w:t>35</w:t>
            </w:r>
            <w:r w:rsidR="00AF618F">
              <w:rPr>
                <w:rFonts w:ascii="Calibri" w:eastAsia="Calibri" w:hAnsi="Calibri" w:cs="Calibri"/>
                <w:color w:val="000000"/>
                <w:u w:color="000000"/>
                <w:lang w:val="pt-PT"/>
              </w:rPr>
              <w:t>,0</w:t>
            </w:r>
          </w:p>
        </w:tc>
      </w:tr>
      <w:tr w:rsidR="00D66222" w:rsidRPr="009A1C3E" w14:paraId="4C6D9E37"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3257D251" w14:textId="2EA6DB6E"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18,2 a 30,4</w:t>
            </w:r>
            <w:r w:rsidRPr="009A1C3E">
              <w:rPr>
                <w:rFonts w:ascii="Calibri" w:eastAsia="Calibri" w:hAnsi="Calibri" w:cs="Calibri"/>
                <w:color w:val="000000"/>
                <w:u w:color="000000"/>
                <w:lang w:val="pt-PT"/>
              </w:rPr>
              <w:t xml:space="preserve"> </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3058742D" w14:textId="18BA77A8"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29,5</w:t>
            </w:r>
            <w:r w:rsidRPr="009A1C3E">
              <w:rPr>
                <w:rFonts w:ascii="Calibri" w:eastAsia="Calibri" w:hAnsi="Calibri" w:cs="Calibri"/>
                <w:color w:val="000000"/>
                <w:u w:color="000000"/>
                <w:lang w:val="pt-PT"/>
              </w:rPr>
              <w:t xml:space="preserve"> </w:t>
            </w:r>
          </w:p>
        </w:tc>
      </w:tr>
      <w:tr w:rsidR="00D66222" w:rsidRPr="009A1C3E" w14:paraId="6F51BE49"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245B82D7" w14:textId="5B7CAAA0"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30,4 a 42,6</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43AA176E" w14:textId="7CE5E487"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17,5</w:t>
            </w:r>
            <w:r w:rsidRPr="009A1C3E">
              <w:rPr>
                <w:rFonts w:ascii="Calibri" w:eastAsia="Calibri" w:hAnsi="Calibri" w:cs="Calibri"/>
                <w:color w:val="000000"/>
                <w:u w:color="000000"/>
                <w:lang w:val="pt-PT"/>
              </w:rPr>
              <w:t xml:space="preserve"> </w:t>
            </w:r>
          </w:p>
        </w:tc>
      </w:tr>
      <w:tr w:rsidR="00D66222" w:rsidRPr="009A1C3E" w14:paraId="1DEC636A"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2DFDE2DE" w14:textId="0E5F8EE0"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42,6 a 54,8</w:t>
            </w:r>
            <w:r w:rsidRPr="009A1C3E">
              <w:rPr>
                <w:rFonts w:ascii="Calibri" w:eastAsia="Calibri" w:hAnsi="Calibri" w:cs="Calibri"/>
                <w:color w:val="000000"/>
                <w:u w:color="000000"/>
                <w:lang w:val="pt-PT"/>
              </w:rPr>
              <w:t xml:space="preserve"> </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7B8AFBD7" w14:textId="0C8B17B0" w:rsidR="00D66222" w:rsidRPr="009A1C3E" w:rsidRDefault="00D66222" w:rsidP="009A1C3E">
            <w:pPr>
              <w:jc w:val="center"/>
              <w:rPr>
                <w:rFonts w:cs="Arial Unicode MS"/>
                <w:color w:val="000000"/>
                <w:sz w:val="24"/>
                <w:szCs w:val="24"/>
                <w:u w:color="000000"/>
                <w:lang w:val="pt-PT"/>
              </w:rPr>
            </w:pPr>
            <w:r>
              <w:rPr>
                <w:rFonts w:ascii="Calibri" w:eastAsia="Calibri" w:hAnsi="Calibri" w:cs="Calibri"/>
                <w:color w:val="000000"/>
                <w:u w:color="000000"/>
                <w:lang w:val="pt-PT"/>
              </w:rPr>
              <w:t>9</w:t>
            </w:r>
            <w:r w:rsidR="00AF618F">
              <w:rPr>
                <w:rFonts w:ascii="Calibri" w:eastAsia="Calibri" w:hAnsi="Calibri" w:cs="Calibri"/>
                <w:color w:val="000000"/>
                <w:u w:color="000000"/>
                <w:lang w:val="pt-PT"/>
              </w:rPr>
              <w:t>,0</w:t>
            </w:r>
            <w:r w:rsidRPr="009A1C3E">
              <w:rPr>
                <w:rFonts w:ascii="Calibri" w:eastAsia="Calibri" w:hAnsi="Calibri" w:cs="Calibri"/>
                <w:color w:val="000000"/>
                <w:u w:color="000000"/>
                <w:lang w:val="pt-PT"/>
              </w:rPr>
              <w:t xml:space="preserve"> </w:t>
            </w:r>
          </w:p>
        </w:tc>
      </w:tr>
      <w:tr w:rsidR="00D66222" w:rsidRPr="009A1C3E" w14:paraId="798295A2"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37712378" w14:textId="6F54AF52" w:rsidR="00D66222" w:rsidRDefault="00D66222" w:rsidP="009A1C3E">
            <w:pPr>
              <w:jc w:val="center"/>
              <w:rPr>
                <w:rFonts w:ascii="Calibri" w:eastAsia="Calibri" w:hAnsi="Calibri" w:cs="Calibri"/>
                <w:color w:val="000000"/>
                <w:u w:color="000000"/>
                <w:lang w:val="pt-PT"/>
              </w:rPr>
            </w:pPr>
            <w:r>
              <w:rPr>
                <w:rFonts w:ascii="Calibri" w:eastAsia="Calibri" w:hAnsi="Calibri" w:cs="Calibri"/>
                <w:color w:val="000000"/>
                <w:u w:color="000000"/>
                <w:lang w:val="pt-PT"/>
              </w:rPr>
              <w:t>54,8 a 67</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34F36BFD" w14:textId="769B9253" w:rsidR="00D66222" w:rsidRPr="009A1C3E" w:rsidRDefault="00D66222" w:rsidP="009A1C3E">
            <w:pPr>
              <w:jc w:val="center"/>
              <w:rPr>
                <w:rFonts w:ascii="Calibri" w:eastAsia="Calibri" w:hAnsi="Calibri" w:cs="Calibri"/>
                <w:color w:val="000000"/>
                <w:u w:color="000000"/>
                <w:lang w:val="pt-PT"/>
              </w:rPr>
            </w:pPr>
            <w:r>
              <w:rPr>
                <w:rFonts w:ascii="Calibri" w:eastAsia="Calibri" w:hAnsi="Calibri" w:cs="Calibri"/>
                <w:color w:val="000000"/>
                <w:u w:color="000000"/>
                <w:lang w:val="pt-PT"/>
              </w:rPr>
              <w:t>6</w:t>
            </w:r>
            <w:r w:rsidR="00AF618F">
              <w:rPr>
                <w:rFonts w:ascii="Calibri" w:eastAsia="Calibri" w:hAnsi="Calibri" w:cs="Calibri"/>
                <w:color w:val="000000"/>
                <w:u w:color="000000"/>
                <w:lang w:val="pt-PT"/>
              </w:rPr>
              <w:t>,0</w:t>
            </w:r>
          </w:p>
        </w:tc>
      </w:tr>
      <w:tr w:rsidR="00D66222" w:rsidRPr="009A1C3E" w14:paraId="41288BEE"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01C99DEB" w14:textId="5650BB15" w:rsidR="00D66222" w:rsidRDefault="00D66222" w:rsidP="009A1C3E">
            <w:pPr>
              <w:jc w:val="center"/>
              <w:rPr>
                <w:rFonts w:ascii="Calibri" w:eastAsia="Calibri" w:hAnsi="Calibri" w:cs="Calibri"/>
                <w:color w:val="000000"/>
                <w:u w:color="000000"/>
                <w:lang w:val="pt-PT"/>
              </w:rPr>
            </w:pPr>
            <w:r>
              <w:rPr>
                <w:rFonts w:ascii="Calibri" w:eastAsia="Calibri" w:hAnsi="Calibri" w:cs="Calibri"/>
                <w:color w:val="000000"/>
                <w:u w:color="000000"/>
                <w:lang w:val="pt-PT"/>
              </w:rPr>
              <w:t>67 a 79,2</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7B8F3D1D" w14:textId="2180770C" w:rsidR="00D66222" w:rsidRPr="009A1C3E" w:rsidRDefault="00D66222" w:rsidP="009A1C3E">
            <w:pPr>
              <w:jc w:val="center"/>
              <w:rPr>
                <w:rFonts w:ascii="Calibri" w:eastAsia="Calibri" w:hAnsi="Calibri" w:cs="Calibri"/>
                <w:color w:val="000000"/>
                <w:u w:color="000000"/>
                <w:lang w:val="pt-PT"/>
              </w:rPr>
            </w:pPr>
            <w:r>
              <w:rPr>
                <w:rFonts w:ascii="Calibri" w:eastAsia="Calibri" w:hAnsi="Calibri" w:cs="Calibri"/>
                <w:color w:val="000000"/>
                <w:u w:color="000000"/>
                <w:lang w:val="pt-PT"/>
              </w:rPr>
              <w:t>3</w:t>
            </w:r>
            <w:r w:rsidR="00AF618F">
              <w:rPr>
                <w:rFonts w:ascii="Calibri" w:eastAsia="Calibri" w:hAnsi="Calibri" w:cs="Calibri"/>
                <w:color w:val="000000"/>
                <w:u w:color="000000"/>
                <w:lang w:val="pt-PT"/>
              </w:rPr>
              <w:t>,0</w:t>
            </w:r>
          </w:p>
        </w:tc>
      </w:tr>
      <w:tr w:rsidR="00D66222" w:rsidRPr="009A1C3E" w14:paraId="78E68724"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5CABFAF2" w14:textId="3DB0C4D0" w:rsidR="00D66222" w:rsidRPr="00D66222" w:rsidRDefault="00D66222" w:rsidP="009A1C3E">
            <w:pPr>
              <w:jc w:val="center"/>
              <w:rPr>
                <w:rFonts w:ascii="Calibri" w:eastAsia="Calibri" w:hAnsi="Calibri" w:cs="Calibri"/>
                <w:b/>
                <w:color w:val="000000"/>
                <w:u w:color="000000"/>
                <w:lang w:val="pt-PT"/>
              </w:rPr>
            </w:pPr>
            <w:r>
              <w:rPr>
                <w:rFonts w:ascii="Calibri" w:eastAsia="Calibri" w:hAnsi="Calibri" w:cs="Calibri"/>
                <w:b/>
                <w:color w:val="000000"/>
                <w:u w:color="000000"/>
                <w:lang w:val="pt-PT"/>
              </w:rPr>
              <w:t>TOTAL</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0B8E9B3F" w14:textId="1845FE95" w:rsidR="00D66222" w:rsidRPr="009A1C3E" w:rsidRDefault="00AF618F" w:rsidP="009A1C3E">
            <w:pPr>
              <w:jc w:val="center"/>
              <w:rPr>
                <w:rFonts w:ascii="Calibri" w:eastAsia="Calibri" w:hAnsi="Calibri" w:cs="Calibri"/>
                <w:color w:val="000000"/>
                <w:u w:color="000000"/>
                <w:lang w:val="pt-PT"/>
              </w:rPr>
            </w:pPr>
            <w:r w:rsidRPr="00AF618F">
              <w:rPr>
                <w:rFonts w:ascii="Calibri" w:eastAsia="Calibri" w:hAnsi="Calibri" w:cs="Calibri"/>
                <w:b/>
                <w:color w:val="000000"/>
                <w:u w:color="000000"/>
                <w:lang w:val="pt-PT"/>
              </w:rPr>
              <w:t>100,0</w:t>
            </w:r>
          </w:p>
        </w:tc>
      </w:tr>
    </w:tbl>
    <w:p w14:paraId="141389D7" w14:textId="08675656" w:rsidR="009A1C3E" w:rsidRDefault="009A1C3E" w:rsidP="004F383D">
      <w:pPr>
        <w:pBdr>
          <w:top w:val="nil"/>
          <w:left w:val="nil"/>
          <w:bottom w:val="nil"/>
          <w:right w:val="nil"/>
          <w:between w:val="nil"/>
          <w:bar w:val="nil"/>
        </w:pBdr>
        <w:suppressAutoHyphens/>
        <w:ind w:left="2835" w:hanging="3"/>
        <w:jc w:val="both"/>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w:t>
      </w:r>
      <w:r w:rsidR="000D52FB">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 xml:space="preserve"> Fonte: Elaboração dos autores.</w:t>
      </w:r>
    </w:p>
    <w:bookmarkEnd w:id="1"/>
    <w:p w14:paraId="556524CC" w14:textId="77777777" w:rsidR="00F85E9B" w:rsidRPr="009A1C3E" w:rsidRDefault="00F85E9B" w:rsidP="009A1C3E">
      <w:pPr>
        <w:pBdr>
          <w:top w:val="nil"/>
          <w:left w:val="nil"/>
          <w:bottom w:val="nil"/>
          <w:right w:val="nil"/>
          <w:between w:val="nil"/>
          <w:bar w:val="nil"/>
        </w:pBdr>
        <w:suppressAutoHyphens/>
        <w:ind w:left="1416" w:firstLine="708"/>
        <w:jc w:val="both"/>
        <w:rPr>
          <w:rFonts w:ascii="Calibri" w:eastAsia="Calibri" w:hAnsi="Calibri" w:cs="Calibri"/>
          <w:color w:val="000000"/>
          <w:sz w:val="24"/>
          <w:szCs w:val="24"/>
          <w:u w:color="000000"/>
          <w:bdr w:val="nil"/>
          <w:lang w:val="pt-PT" w:eastAsia="pt-BR"/>
        </w:rPr>
      </w:pPr>
    </w:p>
    <w:p w14:paraId="2C7BD92D" w14:textId="543712C0" w:rsidR="004F383D" w:rsidRDefault="003201AE"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r w:rsidRPr="003201AE">
        <w:rPr>
          <w:rFonts w:ascii="Calibri" w:eastAsia="Calibri" w:hAnsi="Calibri" w:cs="Calibri"/>
          <w:color w:val="FF0000"/>
          <w:u w:color="000000"/>
          <w:bdr w:val="nil"/>
          <w:lang w:val="pt-PT" w:eastAsia="pt-BR"/>
        </w:rPr>
        <w:t xml:space="preserve">Na Tabela </w:t>
      </w:r>
      <w:r>
        <w:rPr>
          <w:rFonts w:ascii="Calibri" w:eastAsia="Calibri" w:hAnsi="Calibri" w:cs="Calibri"/>
          <w:color w:val="FF0000"/>
          <w:u w:color="000000"/>
          <w:bdr w:val="nil"/>
          <w:lang w:val="pt-PT" w:eastAsia="pt-BR"/>
        </w:rPr>
        <w:t>11 foram agrupadas as taxas de retenção. Como todas as taxas apresentaram o mesmo percentu</w:t>
      </w:r>
      <w:r w:rsidR="00143C47">
        <w:rPr>
          <w:rFonts w:ascii="Calibri" w:eastAsia="Calibri" w:hAnsi="Calibri" w:cs="Calibri"/>
          <w:color w:val="FF0000"/>
          <w:u w:color="000000"/>
          <w:bdr w:val="nil"/>
          <w:lang w:val="pt-PT" w:eastAsia="pt-BR"/>
        </w:rPr>
        <w:t>al</w:t>
      </w:r>
      <w:r w:rsidR="004F383D">
        <w:rPr>
          <w:rStyle w:val="Refdenotaderodap"/>
          <w:rFonts w:ascii="Calibri" w:eastAsia="Calibri" w:hAnsi="Calibri" w:cs="Calibri"/>
          <w:color w:val="FF0000"/>
          <w:u w:color="000000"/>
          <w:bdr w:val="nil"/>
          <w:lang w:val="pt-PT" w:eastAsia="pt-BR"/>
        </w:rPr>
        <w:footnoteReference w:id="2"/>
      </w:r>
      <w:r w:rsidR="00143C47">
        <w:rPr>
          <w:rFonts w:ascii="Calibri" w:eastAsia="Calibri" w:hAnsi="Calibri" w:cs="Calibri"/>
          <w:color w:val="FF0000"/>
          <w:u w:color="000000"/>
          <w:bdr w:val="nil"/>
          <w:lang w:val="pt-PT" w:eastAsia="pt-BR"/>
        </w:rPr>
        <w:t xml:space="preserve">, destacamos que </w:t>
      </w:r>
      <w:r w:rsidR="004F383D">
        <w:rPr>
          <w:rFonts w:ascii="Calibri" w:eastAsia="Calibri" w:hAnsi="Calibri" w:cs="Calibri"/>
          <w:color w:val="FF0000"/>
          <w:u w:color="000000"/>
          <w:bdr w:val="nil"/>
          <w:lang w:val="pt-PT" w:eastAsia="pt-BR"/>
        </w:rPr>
        <w:t xml:space="preserve">a taxa média de retenção foi de 38,52% com desvio-padrão de 17,9%. </w:t>
      </w:r>
    </w:p>
    <w:p w14:paraId="19D6B4B3" w14:textId="3C3AABE5" w:rsidR="004F383D" w:rsidRPr="009A1C3E" w:rsidRDefault="004F383D" w:rsidP="000D52FB">
      <w:pPr>
        <w:pBdr>
          <w:top w:val="nil"/>
          <w:left w:val="nil"/>
          <w:bottom w:val="nil"/>
          <w:right w:val="nil"/>
          <w:between w:val="nil"/>
          <w:bar w:val="nil"/>
        </w:pBdr>
        <w:suppressAutoHyphens/>
        <w:spacing w:before="40" w:after="240"/>
        <w:ind w:left="2835" w:firstLine="709"/>
        <w:jc w:val="center"/>
        <w:rPr>
          <w:rFonts w:ascii="Calibri" w:eastAsia="Calibri" w:hAnsi="Calibri" w:cs="Calibri"/>
          <w:color w:val="000000"/>
          <w:sz w:val="20"/>
          <w:szCs w:val="20"/>
          <w:u w:color="000000"/>
          <w:bdr w:val="nil"/>
          <w:lang w:val="pt-PT" w:eastAsia="pt-BR"/>
        </w:rPr>
      </w:pPr>
      <w:bookmarkStart w:id="2" w:name="_Hlk519274863"/>
      <w:r w:rsidRPr="009A1C3E">
        <w:rPr>
          <w:rFonts w:ascii="Calibri" w:eastAsia="Calibri" w:hAnsi="Calibri" w:cs="Calibri"/>
          <w:color w:val="000000"/>
          <w:sz w:val="20"/>
          <w:szCs w:val="20"/>
          <w:u w:color="000000"/>
          <w:bdr w:val="nil"/>
          <w:lang w:val="nl-NL" w:eastAsia="pt-BR"/>
        </w:rPr>
        <w:t>Tabela 1</w:t>
      </w:r>
      <w:r w:rsidR="003F5D6E">
        <w:rPr>
          <w:rFonts w:ascii="Calibri" w:eastAsia="Calibri" w:hAnsi="Calibri" w:cs="Calibri"/>
          <w:color w:val="000000"/>
          <w:sz w:val="20"/>
          <w:szCs w:val="20"/>
          <w:u w:color="000000"/>
          <w:bdr w:val="nil"/>
          <w:lang w:val="nl-NL" w:eastAsia="pt-BR"/>
        </w:rPr>
        <w:t>1</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Taxas associadas à</w:t>
      </w:r>
      <w:r w:rsidRPr="009A1C3E">
        <w:rPr>
          <w:rFonts w:ascii="Calibri" w:eastAsia="Calibri" w:hAnsi="Calibri" w:cs="Calibri"/>
          <w:color w:val="000000"/>
          <w:sz w:val="20"/>
          <w:szCs w:val="20"/>
          <w:u w:color="000000"/>
          <w:bdr w:val="nil"/>
          <w:lang w:val="pt-PT" w:eastAsia="pt-BR"/>
        </w:rPr>
        <w:t xml:space="preserve"> subcategoria</w:t>
      </w:r>
      <w:r>
        <w:rPr>
          <w:rFonts w:ascii="Calibri" w:eastAsia="Calibri" w:hAnsi="Calibri" w:cs="Calibri"/>
          <w:color w:val="000000"/>
          <w:sz w:val="20"/>
          <w:szCs w:val="20"/>
          <w:u w:color="000000"/>
          <w:bdr w:val="nil"/>
          <w:lang w:val="pt-PT" w:eastAsia="pt-BR"/>
        </w:rPr>
        <w:t xml:space="preserve"> taxa de retenção</w:t>
      </w:r>
    </w:p>
    <w:tbl>
      <w:tblPr>
        <w:tblStyle w:val="TableNormal"/>
        <w:tblW w:w="5069" w:type="dxa"/>
        <w:tblInd w:w="42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32"/>
        <w:gridCol w:w="2337"/>
      </w:tblGrid>
      <w:tr w:rsidR="004F383D" w:rsidRPr="009A1C3E" w14:paraId="74188503" w14:textId="77777777" w:rsidTr="006F4A09">
        <w:trPr>
          <w:trHeight w:val="230"/>
        </w:trPr>
        <w:tc>
          <w:tcPr>
            <w:tcW w:w="273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CDF0088" w14:textId="043C6F75"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Taxas (%)</w:t>
            </w:r>
            <w:r w:rsidRPr="009A1C3E">
              <w:rPr>
                <w:rFonts w:ascii="Calibri" w:eastAsia="Calibri" w:hAnsi="Calibri" w:cs="Calibri"/>
                <w:b/>
                <w:bCs/>
                <w:color w:val="000000"/>
                <w:u w:color="000000"/>
                <w:lang w:val="pt-PT"/>
              </w:rPr>
              <w:t xml:space="preserve"> </w:t>
            </w:r>
          </w:p>
        </w:tc>
        <w:tc>
          <w:tcPr>
            <w:tcW w:w="233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2244283" w14:textId="77777777"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Porcentagem (%)</w:t>
            </w:r>
            <w:r w:rsidRPr="009A1C3E">
              <w:rPr>
                <w:rFonts w:ascii="Calibri" w:eastAsia="Calibri" w:hAnsi="Calibri" w:cs="Calibri"/>
                <w:b/>
                <w:bCs/>
                <w:color w:val="000000"/>
                <w:u w:color="000000"/>
                <w:lang w:val="pt-PT"/>
              </w:rPr>
              <w:t xml:space="preserve"> </w:t>
            </w:r>
          </w:p>
        </w:tc>
      </w:tr>
      <w:tr w:rsidR="004F383D" w:rsidRPr="009A1C3E" w14:paraId="4459EAC3" w14:textId="77777777" w:rsidTr="006F4A09">
        <w:trPr>
          <w:trHeight w:val="225"/>
        </w:trPr>
        <w:tc>
          <w:tcPr>
            <w:tcW w:w="2732"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6BB3B3CE" w14:textId="1401A5BD" w:rsidR="004F383D" w:rsidRPr="004F383D" w:rsidRDefault="004F383D" w:rsidP="003F5D6E">
            <w:pPr>
              <w:ind w:right="413"/>
              <w:jc w:val="center"/>
              <w:rPr>
                <w:rFonts w:ascii="Calibri" w:eastAsia="Calibri" w:hAnsi="Calibri" w:cs="Calibri"/>
                <w:color w:val="000000"/>
                <w:u w:color="000000"/>
                <w:lang w:val="pt-PT"/>
              </w:rPr>
            </w:pPr>
            <w:r w:rsidRPr="004F383D">
              <w:rPr>
                <w:rFonts w:ascii="Calibri" w:eastAsia="Calibri" w:hAnsi="Calibri" w:cs="Calibri"/>
                <w:color w:val="000000"/>
                <w:u w:color="000000"/>
                <w:lang w:val="pt-PT"/>
              </w:rPr>
              <w:t>19,1</w:t>
            </w:r>
            <w:r w:rsidR="003F5D6E">
              <w:rPr>
                <w:rFonts w:ascii="Calibri" w:eastAsia="Calibri" w:hAnsi="Calibri" w:cs="Calibri"/>
                <w:color w:val="000000"/>
                <w:u w:color="000000"/>
                <w:lang w:val="pt-PT"/>
              </w:rPr>
              <w:t>0</w:t>
            </w:r>
          </w:p>
        </w:tc>
        <w:tc>
          <w:tcPr>
            <w:tcW w:w="233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6805DF71" w14:textId="7BD0F025"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16,67</w:t>
            </w:r>
          </w:p>
        </w:tc>
      </w:tr>
      <w:tr w:rsidR="004F383D" w:rsidRPr="009A1C3E" w14:paraId="5EF56A97" w14:textId="77777777" w:rsidTr="006F4A09">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48900638" w14:textId="5110FE89" w:rsidR="004F383D" w:rsidRPr="004F383D"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20,0</w:t>
            </w:r>
            <w:r w:rsidR="003F5D6E">
              <w:rPr>
                <w:rFonts w:ascii="Calibri" w:eastAsia="Calibri" w:hAnsi="Calibri" w:cs="Calibri"/>
                <w:color w:val="000000"/>
                <w:u w:color="000000"/>
                <w:lang w:val="pt-PT"/>
              </w:rPr>
              <w:t>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584B61D7" w14:textId="533E4EC5"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16,67</w:t>
            </w:r>
          </w:p>
        </w:tc>
      </w:tr>
      <w:tr w:rsidR="004F383D" w:rsidRPr="009A1C3E" w14:paraId="011A7127" w14:textId="77777777" w:rsidTr="006F4A09">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08071BDE" w14:textId="19584007" w:rsidR="004F383D" w:rsidRPr="004F383D"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29,80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13C4D48A" w14:textId="14FBCCD8"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16,67</w:t>
            </w:r>
            <w:r w:rsidRPr="009A1C3E">
              <w:rPr>
                <w:rFonts w:ascii="Calibri" w:eastAsia="Calibri" w:hAnsi="Calibri" w:cs="Calibri"/>
                <w:color w:val="000000"/>
                <w:u w:color="000000"/>
                <w:lang w:val="pt-PT"/>
              </w:rPr>
              <w:t xml:space="preserve"> </w:t>
            </w:r>
          </w:p>
        </w:tc>
      </w:tr>
      <w:tr w:rsidR="004F383D" w:rsidRPr="009A1C3E" w14:paraId="068F627E" w14:textId="77777777" w:rsidTr="006F4A09">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6E738F6D" w14:textId="1E400094" w:rsidR="004F383D" w:rsidRPr="004F383D"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50,0</w:t>
            </w:r>
            <w:r w:rsidR="003F5D6E">
              <w:rPr>
                <w:rFonts w:ascii="Calibri" w:eastAsia="Calibri" w:hAnsi="Calibri" w:cs="Calibri"/>
                <w:color w:val="000000"/>
                <w:u w:color="000000"/>
                <w:lang w:val="pt-PT"/>
              </w:rPr>
              <w:t>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62523385" w14:textId="7AB83D8C" w:rsidR="004F383D" w:rsidRPr="009A1C3E" w:rsidRDefault="004F383D" w:rsidP="003F5D6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16,67</w:t>
            </w:r>
          </w:p>
        </w:tc>
      </w:tr>
      <w:tr w:rsidR="004F383D" w:rsidRPr="009A1C3E" w14:paraId="5DB1DBB2" w14:textId="77777777" w:rsidTr="006F4A09">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45C221D6" w14:textId="1862FB18" w:rsidR="004F383D"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51,0</w:t>
            </w:r>
            <w:r w:rsidR="003F5D6E">
              <w:rPr>
                <w:rFonts w:ascii="Calibri" w:eastAsia="Calibri" w:hAnsi="Calibri" w:cs="Calibri"/>
                <w:color w:val="000000"/>
                <w:u w:color="000000"/>
                <w:lang w:val="pt-PT"/>
              </w:rPr>
              <w:t>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4398F312" w14:textId="60B9D541" w:rsidR="004F383D" w:rsidRPr="009A1C3E"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16,66</w:t>
            </w:r>
          </w:p>
        </w:tc>
      </w:tr>
      <w:tr w:rsidR="004F383D" w:rsidRPr="009A1C3E" w14:paraId="4AD3EB00" w14:textId="77777777" w:rsidTr="006F4A09">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0B46138F" w14:textId="522D5DDC" w:rsidR="004F383D"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60,24</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1A690AE6" w14:textId="16019A28" w:rsidR="004F383D" w:rsidRPr="009A1C3E" w:rsidRDefault="004F383D" w:rsidP="003F5D6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16,66</w:t>
            </w:r>
          </w:p>
        </w:tc>
      </w:tr>
      <w:tr w:rsidR="004F383D" w:rsidRPr="009A1C3E" w14:paraId="4953CDDD" w14:textId="77777777" w:rsidTr="006F4A09">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3EEB49D9" w14:textId="77777777" w:rsidR="004F383D" w:rsidRPr="00D66222" w:rsidRDefault="004F383D" w:rsidP="003F5D6E">
            <w:pPr>
              <w:ind w:right="413"/>
              <w:jc w:val="center"/>
              <w:rPr>
                <w:rFonts w:ascii="Calibri" w:eastAsia="Calibri" w:hAnsi="Calibri" w:cs="Calibri"/>
                <w:b/>
                <w:color w:val="000000"/>
                <w:u w:color="000000"/>
                <w:lang w:val="pt-PT"/>
              </w:rPr>
            </w:pPr>
            <w:r>
              <w:rPr>
                <w:rFonts w:ascii="Calibri" w:eastAsia="Calibri" w:hAnsi="Calibri" w:cs="Calibri"/>
                <w:b/>
                <w:color w:val="000000"/>
                <w:u w:color="000000"/>
                <w:lang w:val="pt-PT"/>
              </w:rPr>
              <w:t>TOTAL</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637CE46B" w14:textId="77777777" w:rsidR="004F383D" w:rsidRPr="009A1C3E" w:rsidRDefault="004F383D" w:rsidP="003F5D6E">
            <w:pPr>
              <w:ind w:right="413"/>
              <w:jc w:val="center"/>
              <w:rPr>
                <w:rFonts w:ascii="Calibri" w:eastAsia="Calibri" w:hAnsi="Calibri" w:cs="Calibri"/>
                <w:color w:val="000000"/>
                <w:u w:color="000000"/>
                <w:lang w:val="pt-PT"/>
              </w:rPr>
            </w:pPr>
            <w:r w:rsidRPr="00AF618F">
              <w:rPr>
                <w:rFonts w:ascii="Calibri" w:eastAsia="Calibri" w:hAnsi="Calibri" w:cs="Calibri"/>
                <w:b/>
                <w:color w:val="000000"/>
                <w:u w:color="000000"/>
                <w:lang w:val="pt-PT"/>
              </w:rPr>
              <w:t>100,0</w:t>
            </w:r>
          </w:p>
        </w:tc>
      </w:tr>
    </w:tbl>
    <w:p w14:paraId="2F0D6DD4" w14:textId="6ACD756D" w:rsidR="004F383D" w:rsidRDefault="004F383D" w:rsidP="004F383D">
      <w:pPr>
        <w:pBdr>
          <w:top w:val="nil"/>
          <w:left w:val="nil"/>
          <w:bottom w:val="nil"/>
          <w:right w:val="nil"/>
          <w:between w:val="nil"/>
          <w:bar w:val="nil"/>
        </w:pBdr>
        <w:suppressAutoHyphens/>
        <w:ind w:left="2835" w:hanging="3"/>
        <w:jc w:val="both"/>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w:t>
      </w:r>
      <w:r w:rsidR="000D52FB">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Fonte: Elaboração dos autores.</w:t>
      </w:r>
    </w:p>
    <w:bookmarkEnd w:id="2"/>
    <w:p w14:paraId="26819078" w14:textId="77777777" w:rsidR="003F5D6E" w:rsidRDefault="003F5D6E"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p>
    <w:p w14:paraId="2B1E99CA" w14:textId="7DA70334" w:rsidR="003201AE" w:rsidRDefault="003F5D6E"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r>
        <w:rPr>
          <w:rFonts w:ascii="Calibri" w:eastAsia="Calibri" w:hAnsi="Calibri" w:cs="Calibri"/>
          <w:color w:val="FF0000"/>
          <w:u w:color="000000"/>
          <w:bdr w:val="nil"/>
          <w:lang w:val="pt-PT" w:eastAsia="pt-BR"/>
        </w:rPr>
        <w:lastRenderedPageBreak/>
        <w:t xml:space="preserve">Na Tabela 12 foram agrupadas as taxas de trancamento. Novamente, como as taxas apresentaram o mesmo percentual, destacamos que a taxa média de trancamento foi de 4,12% com desvio-padrão de 1,46%. </w:t>
      </w:r>
    </w:p>
    <w:p w14:paraId="36842156" w14:textId="3267E4A0" w:rsidR="003F5D6E" w:rsidRPr="009A1C3E" w:rsidRDefault="003F5D6E" w:rsidP="000D52FB">
      <w:pPr>
        <w:pBdr>
          <w:top w:val="nil"/>
          <w:left w:val="nil"/>
          <w:bottom w:val="nil"/>
          <w:right w:val="nil"/>
          <w:between w:val="nil"/>
          <w:bar w:val="nil"/>
        </w:pBdr>
        <w:suppressAutoHyphens/>
        <w:spacing w:before="40" w:after="240"/>
        <w:ind w:left="2835" w:firstLine="709"/>
        <w:jc w:val="center"/>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nl-NL" w:eastAsia="pt-BR"/>
        </w:rPr>
        <w:t>Tabela 1</w:t>
      </w:r>
      <w:r>
        <w:rPr>
          <w:rFonts w:ascii="Calibri" w:eastAsia="Calibri" w:hAnsi="Calibri" w:cs="Calibri"/>
          <w:color w:val="000000"/>
          <w:sz w:val="20"/>
          <w:szCs w:val="20"/>
          <w:u w:color="000000"/>
          <w:bdr w:val="nil"/>
          <w:lang w:val="nl-NL" w:eastAsia="pt-BR"/>
        </w:rPr>
        <w:t>2</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Taxas associadas à</w:t>
      </w:r>
      <w:r w:rsidRPr="009A1C3E">
        <w:rPr>
          <w:rFonts w:ascii="Calibri" w:eastAsia="Calibri" w:hAnsi="Calibri" w:cs="Calibri"/>
          <w:color w:val="000000"/>
          <w:sz w:val="20"/>
          <w:szCs w:val="20"/>
          <w:u w:color="000000"/>
          <w:bdr w:val="nil"/>
          <w:lang w:val="pt-PT" w:eastAsia="pt-BR"/>
        </w:rPr>
        <w:t xml:space="preserve"> subcategoria</w:t>
      </w:r>
      <w:r>
        <w:rPr>
          <w:rFonts w:ascii="Calibri" w:eastAsia="Calibri" w:hAnsi="Calibri" w:cs="Calibri"/>
          <w:color w:val="000000"/>
          <w:sz w:val="20"/>
          <w:szCs w:val="20"/>
          <w:u w:color="000000"/>
          <w:bdr w:val="nil"/>
          <w:lang w:val="pt-PT" w:eastAsia="pt-BR"/>
        </w:rPr>
        <w:t xml:space="preserve"> taxa de trancamento</w:t>
      </w:r>
    </w:p>
    <w:tbl>
      <w:tblPr>
        <w:tblStyle w:val="TableNormal"/>
        <w:tblW w:w="5069" w:type="dxa"/>
        <w:tblInd w:w="43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32"/>
        <w:gridCol w:w="2337"/>
      </w:tblGrid>
      <w:tr w:rsidR="003F5D6E" w:rsidRPr="009A1C3E" w14:paraId="17269CCB" w14:textId="77777777" w:rsidTr="000D52FB">
        <w:trPr>
          <w:trHeight w:val="230"/>
        </w:trPr>
        <w:tc>
          <w:tcPr>
            <w:tcW w:w="273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5FFA69B" w14:textId="77777777"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Taxas (%)</w:t>
            </w:r>
            <w:r w:rsidRPr="009A1C3E">
              <w:rPr>
                <w:rFonts w:ascii="Calibri" w:eastAsia="Calibri" w:hAnsi="Calibri" w:cs="Calibri"/>
                <w:b/>
                <w:bCs/>
                <w:color w:val="000000"/>
                <w:u w:color="000000"/>
                <w:lang w:val="pt-PT"/>
              </w:rPr>
              <w:t xml:space="preserve"> </w:t>
            </w:r>
          </w:p>
        </w:tc>
        <w:tc>
          <w:tcPr>
            <w:tcW w:w="233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BA72AED" w14:textId="77777777"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Porcentagem (%)</w:t>
            </w:r>
            <w:r w:rsidRPr="009A1C3E">
              <w:rPr>
                <w:rFonts w:ascii="Calibri" w:eastAsia="Calibri" w:hAnsi="Calibri" w:cs="Calibri"/>
                <w:b/>
                <w:bCs/>
                <w:color w:val="000000"/>
                <w:u w:color="000000"/>
                <w:lang w:val="pt-PT"/>
              </w:rPr>
              <w:t xml:space="preserve"> </w:t>
            </w:r>
          </w:p>
        </w:tc>
      </w:tr>
      <w:tr w:rsidR="003F5D6E" w:rsidRPr="009A1C3E" w14:paraId="7F2CB2C5" w14:textId="77777777" w:rsidTr="000D52FB">
        <w:trPr>
          <w:trHeight w:val="225"/>
        </w:trPr>
        <w:tc>
          <w:tcPr>
            <w:tcW w:w="2732"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3F59D14B" w14:textId="5AED7295" w:rsidR="003F5D6E" w:rsidRPr="004F383D"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2,20</w:t>
            </w:r>
          </w:p>
        </w:tc>
        <w:tc>
          <w:tcPr>
            <w:tcW w:w="233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73BEF0E7" w14:textId="7EBE772B"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3F5D6E" w:rsidRPr="009A1C3E" w14:paraId="5363D3EC"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70D31C49" w14:textId="40C098D4" w:rsidR="003F5D6E" w:rsidRPr="004F383D"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3,50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6DF10BEF" w14:textId="28563F0E"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3F5D6E" w:rsidRPr="009A1C3E" w14:paraId="5531782C"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37C5E791" w14:textId="466C4DF8" w:rsidR="003F5D6E" w:rsidRPr="004F383D"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3,80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3E516F8E" w14:textId="4CC5CF9A"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r w:rsidRPr="009A1C3E">
              <w:rPr>
                <w:rFonts w:ascii="Calibri" w:eastAsia="Calibri" w:hAnsi="Calibri" w:cs="Calibri"/>
                <w:color w:val="000000"/>
                <w:u w:color="000000"/>
                <w:lang w:val="pt-PT"/>
              </w:rPr>
              <w:t xml:space="preserve"> </w:t>
            </w:r>
          </w:p>
        </w:tc>
      </w:tr>
      <w:tr w:rsidR="003F5D6E" w:rsidRPr="009A1C3E" w14:paraId="59D853DE"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65DC04CD" w14:textId="7C1B0A5E" w:rsidR="003F5D6E" w:rsidRPr="004F383D"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5,20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44B11DFD" w14:textId="157233BB" w:rsidR="003F5D6E" w:rsidRPr="009A1C3E" w:rsidRDefault="003F5D6E"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3F5D6E" w:rsidRPr="009A1C3E" w14:paraId="0EEE7E9E"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5B164722" w14:textId="5A35CB88" w:rsidR="003F5D6E"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5,90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00B3DB3E" w14:textId="1DE1521B" w:rsidR="003F5D6E" w:rsidRPr="009A1C3E" w:rsidRDefault="003F5D6E"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20</w:t>
            </w:r>
          </w:p>
        </w:tc>
      </w:tr>
      <w:tr w:rsidR="003F5D6E" w:rsidRPr="009A1C3E" w14:paraId="23824B09"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126BB2E0" w14:textId="77777777" w:rsidR="003F5D6E" w:rsidRPr="00D66222" w:rsidRDefault="003F5D6E" w:rsidP="00953E5E">
            <w:pPr>
              <w:ind w:right="413"/>
              <w:jc w:val="center"/>
              <w:rPr>
                <w:rFonts w:ascii="Calibri" w:eastAsia="Calibri" w:hAnsi="Calibri" w:cs="Calibri"/>
                <w:b/>
                <w:color w:val="000000"/>
                <w:u w:color="000000"/>
                <w:lang w:val="pt-PT"/>
              </w:rPr>
            </w:pPr>
            <w:r>
              <w:rPr>
                <w:rFonts w:ascii="Calibri" w:eastAsia="Calibri" w:hAnsi="Calibri" w:cs="Calibri"/>
                <w:b/>
                <w:color w:val="000000"/>
                <w:u w:color="000000"/>
                <w:lang w:val="pt-PT"/>
              </w:rPr>
              <w:t>TOTAL</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48BA05EE" w14:textId="77777777" w:rsidR="003F5D6E" w:rsidRPr="009A1C3E" w:rsidRDefault="003F5D6E" w:rsidP="00953E5E">
            <w:pPr>
              <w:ind w:right="413"/>
              <w:jc w:val="center"/>
              <w:rPr>
                <w:rFonts w:ascii="Calibri" w:eastAsia="Calibri" w:hAnsi="Calibri" w:cs="Calibri"/>
                <w:color w:val="000000"/>
                <w:u w:color="000000"/>
                <w:lang w:val="pt-PT"/>
              </w:rPr>
            </w:pPr>
            <w:r w:rsidRPr="00AF618F">
              <w:rPr>
                <w:rFonts w:ascii="Calibri" w:eastAsia="Calibri" w:hAnsi="Calibri" w:cs="Calibri"/>
                <w:b/>
                <w:color w:val="000000"/>
                <w:u w:color="000000"/>
                <w:lang w:val="pt-PT"/>
              </w:rPr>
              <w:t>100,0</w:t>
            </w:r>
          </w:p>
        </w:tc>
      </w:tr>
    </w:tbl>
    <w:p w14:paraId="58856E5C" w14:textId="626F1180" w:rsidR="003F5D6E" w:rsidRDefault="003F5D6E" w:rsidP="003F5D6E">
      <w:pPr>
        <w:pBdr>
          <w:top w:val="nil"/>
          <w:left w:val="nil"/>
          <w:bottom w:val="nil"/>
          <w:right w:val="nil"/>
          <w:between w:val="nil"/>
          <w:bar w:val="nil"/>
        </w:pBdr>
        <w:suppressAutoHyphens/>
        <w:ind w:left="2835" w:hanging="3"/>
        <w:jc w:val="both"/>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w:t>
      </w:r>
      <w:r w:rsidR="000D52FB">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 xml:space="preserve"> Fonte: Elaboração dos autores.</w:t>
      </w:r>
    </w:p>
    <w:p w14:paraId="0B32F055" w14:textId="0112ACFA" w:rsidR="003F5D6E" w:rsidRDefault="003F5D6E"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p>
    <w:p w14:paraId="4482A76C" w14:textId="0F3E6EEC" w:rsidR="006F4A09" w:rsidRDefault="006F4A09"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r>
        <w:rPr>
          <w:rFonts w:ascii="Calibri" w:eastAsia="Calibri" w:hAnsi="Calibri" w:cs="Calibri"/>
          <w:color w:val="FF0000"/>
          <w:u w:color="000000"/>
          <w:bdr w:val="nil"/>
          <w:lang w:val="pt-PT" w:eastAsia="pt-BR"/>
        </w:rPr>
        <w:t xml:space="preserve">Na Tabela 13 foram agrupados os índices de reprovação nas disciplinas da área de Matemática. Mais uma vez como as taxas apresentaram o mesmo percentual, destacamos que o índice médio de reprovação (nas disciplinas da área de Matemática) foi de 40,43% com desvio-padrão de 18,3%. </w:t>
      </w:r>
    </w:p>
    <w:p w14:paraId="3089DB08" w14:textId="1990D189" w:rsidR="006F4A09" w:rsidRPr="009A1C3E" w:rsidRDefault="006F4A09" w:rsidP="006F4A09">
      <w:pPr>
        <w:pBdr>
          <w:top w:val="nil"/>
          <w:left w:val="nil"/>
          <w:bottom w:val="nil"/>
          <w:right w:val="nil"/>
          <w:between w:val="nil"/>
          <w:bar w:val="nil"/>
        </w:pBdr>
        <w:suppressAutoHyphens/>
        <w:spacing w:before="40" w:after="240"/>
        <w:ind w:left="2835" w:firstLine="709"/>
        <w:jc w:val="center"/>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nl-NL" w:eastAsia="pt-BR"/>
        </w:rPr>
        <w:t>Tabela 1</w:t>
      </w:r>
      <w:r>
        <w:rPr>
          <w:rFonts w:ascii="Calibri" w:eastAsia="Calibri" w:hAnsi="Calibri" w:cs="Calibri"/>
          <w:color w:val="000000"/>
          <w:sz w:val="20"/>
          <w:szCs w:val="20"/>
          <w:u w:color="000000"/>
          <w:bdr w:val="nil"/>
          <w:lang w:val="nl-NL" w:eastAsia="pt-BR"/>
        </w:rPr>
        <w:t>3</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w:t>
      </w:r>
      <w:r w:rsidRPr="009A1C3E">
        <w:rPr>
          <w:rFonts w:ascii="Calibri" w:eastAsia="Calibri" w:hAnsi="Calibri" w:cs="Calibri"/>
          <w:color w:val="000000"/>
          <w:sz w:val="20"/>
          <w:szCs w:val="20"/>
          <w:u w:color="000000"/>
          <w:bdr w:val="nil"/>
          <w:lang w:val="nl-NL" w:eastAsia="pt-BR"/>
        </w:rPr>
        <w:t xml:space="preserve"> </w:t>
      </w:r>
      <w:r>
        <w:rPr>
          <w:rFonts w:ascii="Calibri" w:eastAsia="Calibri" w:hAnsi="Calibri" w:cs="Calibri"/>
          <w:color w:val="000000"/>
          <w:sz w:val="20"/>
          <w:szCs w:val="20"/>
          <w:u w:color="000000"/>
          <w:bdr w:val="nil"/>
          <w:lang w:val="nl-NL" w:eastAsia="pt-BR"/>
        </w:rPr>
        <w:t>Taxas associadas à</w:t>
      </w:r>
      <w:r w:rsidRPr="009A1C3E">
        <w:rPr>
          <w:rFonts w:ascii="Calibri" w:eastAsia="Calibri" w:hAnsi="Calibri" w:cs="Calibri"/>
          <w:color w:val="000000"/>
          <w:sz w:val="20"/>
          <w:szCs w:val="20"/>
          <w:u w:color="000000"/>
          <w:bdr w:val="nil"/>
          <w:lang w:val="pt-PT" w:eastAsia="pt-BR"/>
        </w:rPr>
        <w:t xml:space="preserve"> subcategoria</w:t>
      </w:r>
      <w:r>
        <w:rPr>
          <w:rFonts w:ascii="Calibri" w:eastAsia="Calibri" w:hAnsi="Calibri" w:cs="Calibri"/>
          <w:color w:val="000000"/>
          <w:sz w:val="20"/>
          <w:szCs w:val="20"/>
          <w:u w:color="000000"/>
          <w:bdr w:val="nil"/>
          <w:lang w:val="pt-PT" w:eastAsia="pt-BR"/>
        </w:rPr>
        <w:t xml:space="preserve"> índice de reprovação nas disciplinas da área de Matemática</w:t>
      </w:r>
    </w:p>
    <w:tbl>
      <w:tblPr>
        <w:tblStyle w:val="TableNormal"/>
        <w:tblW w:w="5069" w:type="dxa"/>
        <w:tblInd w:w="45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32"/>
        <w:gridCol w:w="2337"/>
      </w:tblGrid>
      <w:tr w:rsidR="006F4A09" w:rsidRPr="009A1C3E" w14:paraId="34D75B43" w14:textId="77777777" w:rsidTr="000D52FB">
        <w:trPr>
          <w:trHeight w:val="230"/>
        </w:trPr>
        <w:tc>
          <w:tcPr>
            <w:tcW w:w="273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A47EAD"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Taxas (%)</w:t>
            </w:r>
            <w:r w:rsidRPr="009A1C3E">
              <w:rPr>
                <w:rFonts w:ascii="Calibri" w:eastAsia="Calibri" w:hAnsi="Calibri" w:cs="Calibri"/>
                <w:b/>
                <w:bCs/>
                <w:color w:val="000000"/>
                <w:u w:color="000000"/>
                <w:lang w:val="pt-PT"/>
              </w:rPr>
              <w:t xml:space="preserve"> </w:t>
            </w:r>
          </w:p>
        </w:tc>
        <w:tc>
          <w:tcPr>
            <w:tcW w:w="233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89C723D"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b/>
                <w:bCs/>
                <w:color w:val="000000"/>
                <w:u w:color="000000"/>
                <w:lang w:val="pt-PT"/>
              </w:rPr>
              <w:t>Porcentagem (%)</w:t>
            </w:r>
            <w:r w:rsidRPr="009A1C3E">
              <w:rPr>
                <w:rFonts w:ascii="Calibri" w:eastAsia="Calibri" w:hAnsi="Calibri" w:cs="Calibri"/>
                <w:b/>
                <w:bCs/>
                <w:color w:val="000000"/>
                <w:u w:color="000000"/>
                <w:lang w:val="pt-PT"/>
              </w:rPr>
              <w:t xml:space="preserve"> </w:t>
            </w:r>
          </w:p>
        </w:tc>
      </w:tr>
      <w:tr w:rsidR="006F4A09" w:rsidRPr="009A1C3E" w14:paraId="2EF50122" w14:textId="77777777" w:rsidTr="000D52FB">
        <w:trPr>
          <w:trHeight w:val="225"/>
        </w:trPr>
        <w:tc>
          <w:tcPr>
            <w:tcW w:w="2732"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44D4EFA8" w14:textId="7B992FA4" w:rsidR="006F4A09" w:rsidRPr="004F383D"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12,57</w:t>
            </w:r>
          </w:p>
        </w:tc>
        <w:tc>
          <w:tcPr>
            <w:tcW w:w="233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37FAE376"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6F4A09" w:rsidRPr="009A1C3E" w14:paraId="259495FD"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083931F9" w14:textId="3745CEA9" w:rsidR="006F4A09" w:rsidRPr="004F383D"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38,40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153ECEEA"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6F4A09" w:rsidRPr="009A1C3E" w14:paraId="091653DC" w14:textId="77777777" w:rsidTr="000D52FB">
        <w:trPr>
          <w:trHeight w:val="22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504AE07A" w14:textId="6E92EFD8" w:rsidR="006F4A09" w:rsidRPr="004F383D"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39,26</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639292CB"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r w:rsidRPr="009A1C3E">
              <w:rPr>
                <w:rFonts w:ascii="Calibri" w:eastAsia="Calibri" w:hAnsi="Calibri" w:cs="Calibri"/>
                <w:color w:val="000000"/>
                <w:u w:color="000000"/>
                <w:lang w:val="pt-PT"/>
              </w:rPr>
              <w:t xml:space="preserve"> </w:t>
            </w:r>
          </w:p>
        </w:tc>
      </w:tr>
      <w:tr w:rsidR="006F4A09" w:rsidRPr="009A1C3E" w14:paraId="4E69D516"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389BD7CB" w14:textId="463277F2" w:rsidR="006F4A09" w:rsidRPr="004F383D"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49,92</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4DB25B6A" w14:textId="77777777" w:rsidR="006F4A09" w:rsidRPr="009A1C3E" w:rsidRDefault="006F4A09" w:rsidP="00953E5E">
            <w:pPr>
              <w:ind w:right="413"/>
              <w:jc w:val="center"/>
              <w:rPr>
                <w:rFonts w:cs="Arial Unicode MS"/>
                <w:color w:val="000000"/>
                <w:sz w:val="24"/>
                <w:szCs w:val="24"/>
                <w:u w:color="000000"/>
                <w:lang w:val="pt-PT"/>
              </w:rPr>
            </w:pPr>
            <w:r>
              <w:rPr>
                <w:rFonts w:ascii="Calibri" w:eastAsia="Calibri" w:hAnsi="Calibri" w:cs="Calibri"/>
                <w:color w:val="000000"/>
                <w:u w:color="000000"/>
                <w:lang w:val="pt-PT"/>
              </w:rPr>
              <w:t>20</w:t>
            </w:r>
          </w:p>
        </w:tc>
      </w:tr>
      <w:tr w:rsidR="006F4A09" w:rsidRPr="009A1C3E" w14:paraId="783776B2"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4D209631" w14:textId="2DEB803B" w:rsidR="006F4A09"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62,00</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762EB089" w14:textId="77777777" w:rsidR="006F4A09" w:rsidRPr="009A1C3E" w:rsidRDefault="006F4A09" w:rsidP="00953E5E">
            <w:pPr>
              <w:ind w:right="413"/>
              <w:jc w:val="center"/>
              <w:rPr>
                <w:rFonts w:ascii="Calibri" w:eastAsia="Calibri" w:hAnsi="Calibri" w:cs="Calibri"/>
                <w:color w:val="000000"/>
                <w:u w:color="000000"/>
                <w:lang w:val="pt-PT"/>
              </w:rPr>
            </w:pPr>
            <w:r>
              <w:rPr>
                <w:rFonts w:ascii="Calibri" w:eastAsia="Calibri" w:hAnsi="Calibri" w:cs="Calibri"/>
                <w:color w:val="000000"/>
                <w:u w:color="000000"/>
                <w:lang w:val="pt-PT"/>
              </w:rPr>
              <w:t>20</w:t>
            </w:r>
          </w:p>
        </w:tc>
      </w:tr>
      <w:tr w:rsidR="006F4A09" w:rsidRPr="009A1C3E" w14:paraId="37B67BAC" w14:textId="77777777" w:rsidTr="000D52FB">
        <w:trPr>
          <w:trHeight w:val="230"/>
        </w:trPr>
        <w:tc>
          <w:tcPr>
            <w:tcW w:w="2732" w:type="dxa"/>
            <w:tcBorders>
              <w:top w:val="nil"/>
              <w:left w:val="nil"/>
              <w:bottom w:val="nil"/>
              <w:right w:val="single" w:sz="4" w:space="0" w:color="000000"/>
            </w:tcBorders>
            <w:shd w:val="clear" w:color="auto" w:fill="auto"/>
            <w:tcMar>
              <w:top w:w="80" w:type="dxa"/>
              <w:left w:w="80" w:type="dxa"/>
              <w:bottom w:w="80" w:type="dxa"/>
              <w:right w:w="80" w:type="dxa"/>
            </w:tcMar>
          </w:tcPr>
          <w:p w14:paraId="02D17F7B" w14:textId="77777777" w:rsidR="006F4A09" w:rsidRPr="00D66222" w:rsidRDefault="006F4A09" w:rsidP="00953E5E">
            <w:pPr>
              <w:ind w:right="413"/>
              <w:jc w:val="center"/>
              <w:rPr>
                <w:rFonts w:ascii="Calibri" w:eastAsia="Calibri" w:hAnsi="Calibri" w:cs="Calibri"/>
                <w:b/>
                <w:color w:val="000000"/>
                <w:u w:color="000000"/>
                <w:lang w:val="pt-PT"/>
              </w:rPr>
            </w:pPr>
            <w:r>
              <w:rPr>
                <w:rFonts w:ascii="Calibri" w:eastAsia="Calibri" w:hAnsi="Calibri" w:cs="Calibri"/>
                <w:b/>
                <w:color w:val="000000"/>
                <w:u w:color="000000"/>
                <w:lang w:val="pt-PT"/>
              </w:rPr>
              <w:t>TOTAL</w:t>
            </w:r>
          </w:p>
        </w:tc>
        <w:tc>
          <w:tcPr>
            <w:tcW w:w="2337" w:type="dxa"/>
            <w:tcBorders>
              <w:top w:val="nil"/>
              <w:left w:val="single" w:sz="4" w:space="0" w:color="000000"/>
              <w:bottom w:val="nil"/>
              <w:right w:val="nil"/>
            </w:tcBorders>
            <w:shd w:val="clear" w:color="auto" w:fill="auto"/>
            <w:tcMar>
              <w:top w:w="80" w:type="dxa"/>
              <w:left w:w="80" w:type="dxa"/>
              <w:bottom w:w="80" w:type="dxa"/>
              <w:right w:w="80" w:type="dxa"/>
            </w:tcMar>
          </w:tcPr>
          <w:p w14:paraId="3A144C0E" w14:textId="77777777" w:rsidR="006F4A09" w:rsidRPr="009A1C3E" w:rsidRDefault="006F4A09" w:rsidP="00953E5E">
            <w:pPr>
              <w:ind w:right="413"/>
              <w:jc w:val="center"/>
              <w:rPr>
                <w:rFonts w:ascii="Calibri" w:eastAsia="Calibri" w:hAnsi="Calibri" w:cs="Calibri"/>
                <w:color w:val="000000"/>
                <w:u w:color="000000"/>
                <w:lang w:val="pt-PT"/>
              </w:rPr>
            </w:pPr>
            <w:r w:rsidRPr="00AF618F">
              <w:rPr>
                <w:rFonts w:ascii="Calibri" w:eastAsia="Calibri" w:hAnsi="Calibri" w:cs="Calibri"/>
                <w:b/>
                <w:color w:val="000000"/>
                <w:u w:color="000000"/>
                <w:lang w:val="pt-PT"/>
              </w:rPr>
              <w:t>100,0</w:t>
            </w:r>
          </w:p>
        </w:tc>
      </w:tr>
    </w:tbl>
    <w:p w14:paraId="6EB34402" w14:textId="6B3926E6" w:rsidR="006F4A09" w:rsidRDefault="006F4A09" w:rsidP="006F4A09">
      <w:pPr>
        <w:pBdr>
          <w:top w:val="nil"/>
          <w:left w:val="nil"/>
          <w:bottom w:val="nil"/>
          <w:right w:val="nil"/>
          <w:between w:val="nil"/>
          <w:bar w:val="nil"/>
        </w:pBdr>
        <w:suppressAutoHyphens/>
        <w:ind w:left="2835" w:hanging="3"/>
        <w:jc w:val="both"/>
        <w:rPr>
          <w:rFonts w:ascii="Calibri" w:eastAsia="Calibri" w:hAnsi="Calibri" w:cs="Calibri"/>
          <w:color w:val="000000"/>
          <w:sz w:val="20"/>
          <w:szCs w:val="20"/>
          <w:u w:color="000000"/>
          <w:bdr w:val="nil"/>
          <w:lang w:val="pt-PT" w:eastAsia="pt-BR"/>
        </w:rPr>
      </w:pPr>
      <w:r w:rsidRPr="009A1C3E">
        <w:rPr>
          <w:rFonts w:ascii="Calibri" w:eastAsia="Calibri" w:hAnsi="Calibri" w:cs="Calibri"/>
          <w:color w:val="000000"/>
          <w:sz w:val="20"/>
          <w:szCs w:val="20"/>
          <w:u w:color="000000"/>
          <w:bdr w:val="nil"/>
          <w:lang w:val="pt-PT" w:eastAsia="pt-BR"/>
        </w:rPr>
        <w:t xml:space="preserve">                       </w:t>
      </w:r>
      <w:r w:rsidR="000D52FB">
        <w:rPr>
          <w:rFonts w:ascii="Calibri" w:eastAsia="Calibri" w:hAnsi="Calibri" w:cs="Calibri"/>
          <w:color w:val="000000"/>
          <w:sz w:val="20"/>
          <w:szCs w:val="20"/>
          <w:u w:color="000000"/>
          <w:bdr w:val="nil"/>
          <w:lang w:val="pt-PT" w:eastAsia="pt-BR"/>
        </w:rPr>
        <w:t xml:space="preserve">             </w:t>
      </w:r>
      <w:r w:rsidRPr="009A1C3E">
        <w:rPr>
          <w:rFonts w:ascii="Calibri" w:eastAsia="Calibri" w:hAnsi="Calibri" w:cs="Calibri"/>
          <w:color w:val="000000"/>
          <w:sz w:val="20"/>
          <w:szCs w:val="20"/>
          <w:u w:color="000000"/>
          <w:bdr w:val="nil"/>
          <w:lang w:val="pt-PT" w:eastAsia="pt-BR"/>
        </w:rPr>
        <w:t xml:space="preserve"> Fonte: Elaboração dos autores.</w:t>
      </w:r>
    </w:p>
    <w:p w14:paraId="73DAEB82" w14:textId="77777777" w:rsidR="006F4A09" w:rsidRPr="006F4A09" w:rsidRDefault="006F4A09" w:rsidP="009A1C3E">
      <w:pPr>
        <w:pBdr>
          <w:top w:val="nil"/>
          <w:left w:val="nil"/>
          <w:bottom w:val="nil"/>
          <w:right w:val="nil"/>
          <w:between w:val="nil"/>
          <w:bar w:val="nil"/>
        </w:pBdr>
        <w:spacing w:after="120"/>
        <w:ind w:left="2835" w:firstLine="397"/>
        <w:jc w:val="both"/>
        <w:rPr>
          <w:rFonts w:ascii="Calibri" w:eastAsia="Calibri" w:hAnsi="Calibri" w:cs="Calibri"/>
          <w:color w:val="FF0000"/>
          <w:u w:color="000000"/>
          <w:bdr w:val="nil"/>
          <w:lang w:val="pt-PT" w:eastAsia="pt-BR"/>
        </w:rPr>
      </w:pPr>
    </w:p>
    <w:p w14:paraId="4C9BA80A" w14:textId="2798C732"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Nesta terceira e última categoria, consideramos importante destacar que os índices apresentados dizem respeito ao período compreendido entre 1993 a 2013, tendo um caso associado ao ano de 1989 e outro associado ao ano de 2014. Outro ponto que merece atenção diz respeito ao fato de os índices se referirem ou não a um curso de Engenharia específico. Sendo assim, 43% dos artigos classificados nesta categoria não tratavam de um curso de Engenharia específico e 57% deles tratavam. Dentre os cursos específicos de Engenharia, a Engenharia Civil foi a que mais se destacou, com 29,2%, seguida das Engenharias Elétrica e de Produção, com 16,7%, cada uma.</w:t>
      </w:r>
    </w:p>
    <w:p w14:paraId="0A8A648C" w14:textId="77777777" w:rsidR="009A1C3E" w:rsidRPr="009A1C3E" w:rsidRDefault="009A1C3E" w:rsidP="009A1C3E">
      <w:pPr>
        <w:pBdr>
          <w:top w:val="nil"/>
          <w:left w:val="nil"/>
          <w:bottom w:val="nil"/>
          <w:right w:val="nil"/>
          <w:between w:val="nil"/>
          <w:bar w:val="nil"/>
        </w:pBdr>
        <w:suppressAutoHyphens/>
        <w:spacing w:before="480" w:after="240"/>
        <w:ind w:left="2835"/>
        <w:jc w:val="both"/>
        <w:rPr>
          <w:rFonts w:ascii="Calibri" w:eastAsia="Calibri" w:hAnsi="Calibri" w:cs="Calibri"/>
          <w:b/>
          <w:bCs/>
          <w:caps/>
          <w:color w:val="000000"/>
          <w:u w:color="000000"/>
          <w:bdr w:val="nil"/>
          <w:lang w:val="pt-PT" w:eastAsia="pt-BR"/>
        </w:rPr>
      </w:pPr>
      <w:r w:rsidRPr="009A1C3E">
        <w:rPr>
          <w:rFonts w:ascii="Calibri" w:eastAsia="Calibri" w:hAnsi="Calibri" w:cs="Calibri"/>
          <w:b/>
          <w:bCs/>
          <w:color w:val="000000"/>
          <w:u w:color="000000"/>
          <w:bdr w:val="nil"/>
          <w:lang w:val="pt-PT" w:eastAsia="pt-BR"/>
        </w:rPr>
        <w:t xml:space="preserve">Considerações acerca da evasão nos Cursos de Engenharia </w:t>
      </w:r>
    </w:p>
    <w:p w14:paraId="7A400B53"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lastRenderedPageBreak/>
        <w:t xml:space="preserve">Dentre as causas que mais apareceram, a de ordem pedagógica foi a que mais se destacou, com 55%. Ao analisar as causas associadas à subcategoria de ordem pedagógica, identificamos que as reprovações sucessivas nas disciplinas do Ciclo Básico, dos cursos de Engenharia, principalmente relacionadas ao Cálculo Diferencial e Integral, destacam-se, com 34%, seguidas pelas deficiências na formação básica dos estudantes, com 22%. </w:t>
      </w:r>
    </w:p>
    <w:p w14:paraId="05FF5F66" w14:textId="57D465F6"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Das soluções que mais apareceram, mais uma vez a de ordem pedagógica se destacou, com 82%. A análise das soluções associadas à subcategoria de ordem pedagógica mostrou que os programas de monitoria, tutoria e nivelamento para as disciplinas do Ciclo Básico foram os que mais se destacaram, com 20,5%, seguidos da melhoria das ferramentas computacionais no</w:t>
      </w:r>
      <w:r w:rsidR="00A427F5">
        <w:rPr>
          <w:rFonts w:ascii="Calibri" w:eastAsia="Calibri" w:hAnsi="Calibri" w:cs="Calibri"/>
          <w:color w:val="000000"/>
          <w:u w:color="000000"/>
          <w:bdr w:val="nil"/>
          <w:lang w:val="pt-PT" w:eastAsia="pt-BR"/>
        </w:rPr>
        <w:t>s</w:t>
      </w:r>
      <w:r w:rsidRPr="009A1C3E">
        <w:rPr>
          <w:rFonts w:ascii="Calibri" w:eastAsia="Calibri" w:hAnsi="Calibri" w:cs="Calibri"/>
          <w:color w:val="000000"/>
          <w:u w:color="000000"/>
          <w:bdr w:val="nil"/>
          <w:lang w:val="pt-PT" w:eastAsia="pt-BR"/>
        </w:rPr>
        <w:t xml:space="preserve"> processo</w:t>
      </w:r>
      <w:r w:rsidR="00A427F5">
        <w:rPr>
          <w:rFonts w:ascii="Calibri" w:eastAsia="Calibri" w:hAnsi="Calibri" w:cs="Calibri"/>
          <w:color w:val="000000"/>
          <w:u w:color="000000"/>
          <w:bdr w:val="nil"/>
          <w:lang w:val="pt-PT" w:eastAsia="pt-BR"/>
        </w:rPr>
        <w:t>s</w:t>
      </w:r>
      <w:bookmarkStart w:id="3" w:name="_GoBack"/>
      <w:bookmarkEnd w:id="3"/>
      <w:r w:rsidRPr="009A1C3E">
        <w:rPr>
          <w:rFonts w:ascii="Calibri" w:eastAsia="Calibri" w:hAnsi="Calibri" w:cs="Calibri"/>
          <w:color w:val="000000"/>
          <w:u w:color="000000"/>
          <w:bdr w:val="nil"/>
          <w:lang w:val="pt-PT" w:eastAsia="pt-BR"/>
        </w:rPr>
        <w:t xml:space="preserve"> de ensino e aprendizagem das disciplinas do Ciclo Básico, ou seja, o foco de atuação precisa ocorrer nas disciplinas dos primeiros ciclos, independentemente se a IES adota ou não o regime de Ciclo Básico. </w:t>
      </w:r>
    </w:p>
    <w:p w14:paraId="30FB836E"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Por fim, no que se refere aos índices, a taxa de evasão se sobressai, com 63%, isto é, conforme a análise feita nos dois parágrafos anteriores, existe uma forte relação entre evasão e reprovação nas disciplinas do Ciclo Básico, com destaque para a disciplina de Cálculo Diferencial e Integral. </w:t>
      </w:r>
    </w:p>
    <w:p w14:paraId="3BEDCF5B" w14:textId="77777777" w:rsidR="009A1C3E" w:rsidRPr="009A1C3E" w:rsidRDefault="009A1C3E" w:rsidP="009A1C3E">
      <w:pPr>
        <w:pBdr>
          <w:top w:val="nil"/>
          <w:left w:val="nil"/>
          <w:bottom w:val="nil"/>
          <w:right w:val="nil"/>
          <w:between w:val="nil"/>
          <w:bar w:val="nil"/>
        </w:pBdr>
        <w:suppressAutoHyphens/>
        <w:spacing w:before="480" w:after="240"/>
        <w:ind w:left="2835"/>
        <w:jc w:val="both"/>
        <w:rPr>
          <w:rFonts w:ascii="Calibri" w:eastAsia="Calibri" w:hAnsi="Calibri" w:cs="Calibri"/>
          <w:b/>
          <w:bCs/>
          <w:smallCaps/>
          <w:color w:val="000000"/>
          <w:u w:color="000000"/>
          <w:bdr w:val="nil"/>
          <w:lang w:val="pt-PT" w:eastAsia="pt-BR"/>
        </w:rPr>
      </w:pPr>
      <w:r w:rsidRPr="009A1C3E">
        <w:rPr>
          <w:rFonts w:ascii="Calibri" w:eastAsia="Calibri" w:hAnsi="Calibri" w:cs="Calibri"/>
          <w:b/>
          <w:bCs/>
          <w:smallCaps/>
          <w:color w:val="000000"/>
          <w:u w:color="000000"/>
          <w:bdr w:val="nil"/>
          <w:lang w:val="pt-PT" w:eastAsia="pt-BR"/>
        </w:rPr>
        <w:t>CONSIDERAÇÕES FINAIS</w:t>
      </w:r>
    </w:p>
    <w:p w14:paraId="2D3898F9"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Este trabalho teve como intenção investigar a evasão no Ensino Superior, mais especificamente nos cursos de Engenharia. Ao propor o estudo, acreditava-se que, apesar da temática de investigação ser atual e um problema que acomete IES públicas e privadas, a discussão, pelo menos na esfera da pesquisa, já tivesse avançada, com propostas aplicadas, criticadas e aperfeiçoadas. No entanto, a pesquisa revelou poucas referências sobre a evasão no Ensino Superior. Tal constatação foi decisiva para redirecionar a pesquisa e mergulhar nos trabalhos publicados nos anais do mais importante fórum de discussão sobre o ensino de Engenharia no Brasil, o COBENGE.  </w:t>
      </w:r>
    </w:p>
    <w:p w14:paraId="6F5143CC" w14:textId="53E263EC"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Seguindo nessa direçã</w:t>
      </w:r>
      <w:r w:rsidRPr="009A1C3E">
        <w:rPr>
          <w:rFonts w:ascii="Calibri" w:eastAsia="Calibri" w:hAnsi="Calibri" w:cs="Calibri"/>
          <w:color w:val="000000"/>
          <w:u w:color="000000"/>
          <w:bdr w:val="nil"/>
          <w:lang w:eastAsia="pt-BR"/>
        </w:rPr>
        <w:t xml:space="preserve">o, conforme destacado, anteriormente, a </w:t>
      </w:r>
      <w:r w:rsidR="00A97345">
        <w:rPr>
          <w:rFonts w:ascii="Calibri" w:eastAsia="Calibri" w:hAnsi="Calibri" w:cs="Calibri"/>
          <w:color w:val="FF0000"/>
          <w:u w:color="000000"/>
          <w:bdr w:val="nil"/>
          <w:lang w:eastAsia="pt-BR"/>
        </w:rPr>
        <w:t xml:space="preserve">principal </w:t>
      </w:r>
      <w:r w:rsidRPr="009A1C3E">
        <w:rPr>
          <w:rFonts w:ascii="Calibri" w:eastAsia="Calibri" w:hAnsi="Calibri" w:cs="Calibri"/>
          <w:color w:val="000000"/>
          <w:u w:color="000000"/>
          <w:bdr w:val="nil"/>
          <w:lang w:val="pt-PT" w:eastAsia="pt-BR"/>
        </w:rPr>
        <w:t xml:space="preserve"> causa da evasão é de ordem pedagógica que, consequentemente, está associada </w:t>
      </w:r>
      <w:r w:rsidRPr="009A1C3E">
        <w:rPr>
          <w:rFonts w:ascii="Calibri" w:eastAsia="Calibri" w:hAnsi="Calibri" w:cs="Calibri"/>
          <w:color w:val="000000"/>
          <w:u w:color="000000"/>
          <w:bdr w:val="nil"/>
          <w:lang w:val="fr-FR" w:eastAsia="pt-BR"/>
        </w:rPr>
        <w:t>à</w:t>
      </w:r>
      <w:r w:rsidRPr="009A1C3E">
        <w:rPr>
          <w:rFonts w:ascii="Calibri" w:eastAsia="Calibri" w:hAnsi="Calibri" w:cs="Calibri"/>
          <w:color w:val="000000"/>
          <w:u w:color="000000"/>
          <w:bdr w:val="nil"/>
          <w:lang w:val="pt-PT" w:eastAsia="pt-BR"/>
        </w:rPr>
        <w:t xml:space="preserve">s reprovações sucessivas nas disciplinas do Ciclo Básico e </w:t>
      </w:r>
      <w:r w:rsidRPr="009A1C3E">
        <w:rPr>
          <w:rFonts w:ascii="Calibri" w:eastAsia="Calibri" w:hAnsi="Calibri" w:cs="Calibri"/>
          <w:color w:val="000000"/>
          <w:u w:color="000000"/>
          <w:bdr w:val="nil"/>
          <w:lang w:val="fr-FR" w:eastAsia="pt-BR"/>
        </w:rPr>
        <w:t>à</w:t>
      </w:r>
      <w:r w:rsidRPr="009A1C3E">
        <w:rPr>
          <w:rFonts w:ascii="Calibri" w:eastAsia="Calibri" w:hAnsi="Calibri" w:cs="Calibri"/>
          <w:color w:val="000000"/>
          <w:u w:color="000000"/>
          <w:bdr w:val="nil"/>
          <w:lang w:val="pt-PT" w:eastAsia="pt-BR"/>
        </w:rPr>
        <w:t>s defici</w:t>
      </w:r>
      <w:r w:rsidRPr="009A1C3E">
        <w:rPr>
          <w:rFonts w:ascii="Calibri" w:eastAsia="Calibri" w:hAnsi="Calibri" w:cs="Calibri"/>
          <w:color w:val="000000"/>
          <w:u w:color="000000"/>
          <w:bdr w:val="nil"/>
          <w:lang w:val="fr-FR" w:eastAsia="pt-BR"/>
        </w:rPr>
        <w:t>ê</w:t>
      </w:r>
      <w:r w:rsidRPr="009A1C3E">
        <w:rPr>
          <w:rFonts w:ascii="Calibri" w:eastAsia="Calibri" w:hAnsi="Calibri" w:cs="Calibri"/>
          <w:color w:val="000000"/>
          <w:u w:color="000000"/>
          <w:bdr w:val="nil"/>
          <w:lang w:val="pt-PT" w:eastAsia="pt-BR"/>
        </w:rPr>
        <w:t>ncias na formação básica dos estudantes. Consideramos que os dois motivos estão diretamente relacionados com a fragilidade da formaçã</w:t>
      </w:r>
      <w:r w:rsidRPr="009A1C3E">
        <w:rPr>
          <w:rFonts w:ascii="Calibri" w:eastAsia="Calibri" w:hAnsi="Calibri" w:cs="Calibri"/>
          <w:color w:val="000000"/>
          <w:u w:color="000000"/>
          <w:bdr w:val="nil"/>
          <w:lang w:eastAsia="pt-BR"/>
        </w:rPr>
        <w:t>o educacional b</w:t>
      </w:r>
      <w:r w:rsidRPr="009A1C3E">
        <w:rPr>
          <w:rFonts w:ascii="Calibri" w:eastAsia="Calibri" w:hAnsi="Calibri" w:cs="Calibri"/>
          <w:color w:val="000000"/>
          <w:u w:color="000000"/>
          <w:bdr w:val="nil"/>
          <w:lang w:val="pt-PT" w:eastAsia="pt-BR"/>
        </w:rPr>
        <w:t>ásica brasileira e, portanto, precisa ser analisada com tranquilidade e criticidade, pois, não podemos responsabilizar a escola de educação básica e os alunos pelos problemas que eles enfrentam no início do Ensino Superior, muito menos secundarizar, sem o devido cuidado, as disciplinas do Ciclo Básico, quais sejam das á</w:t>
      </w:r>
      <w:r w:rsidRPr="009A1C3E">
        <w:rPr>
          <w:rFonts w:ascii="Calibri" w:eastAsia="Calibri" w:hAnsi="Calibri" w:cs="Calibri"/>
          <w:color w:val="000000"/>
          <w:u w:color="000000"/>
          <w:bdr w:val="nil"/>
          <w:lang w:eastAsia="pt-BR"/>
        </w:rPr>
        <w:t>reas de Matem</w:t>
      </w:r>
      <w:r w:rsidRPr="009A1C3E">
        <w:rPr>
          <w:rFonts w:ascii="Calibri" w:eastAsia="Calibri" w:hAnsi="Calibri" w:cs="Calibri"/>
          <w:color w:val="000000"/>
          <w:u w:color="000000"/>
          <w:bdr w:val="nil"/>
          <w:lang w:val="pt-PT" w:eastAsia="pt-BR"/>
        </w:rPr>
        <w:t>ática e das Ci</w:t>
      </w:r>
      <w:r w:rsidRPr="009A1C3E">
        <w:rPr>
          <w:rFonts w:ascii="Calibri" w:eastAsia="Calibri" w:hAnsi="Calibri" w:cs="Calibri"/>
          <w:color w:val="000000"/>
          <w:u w:color="000000"/>
          <w:bdr w:val="nil"/>
          <w:lang w:val="fr-FR" w:eastAsia="pt-BR"/>
        </w:rPr>
        <w:t>ê</w:t>
      </w:r>
      <w:r w:rsidRPr="009A1C3E">
        <w:rPr>
          <w:rFonts w:ascii="Calibri" w:eastAsia="Calibri" w:hAnsi="Calibri" w:cs="Calibri"/>
          <w:color w:val="000000"/>
          <w:u w:color="000000"/>
          <w:bdr w:val="nil"/>
          <w:lang w:val="pt-PT" w:eastAsia="pt-BR"/>
        </w:rPr>
        <w:t>ncias Naturais.</w:t>
      </w:r>
    </w:p>
    <w:p w14:paraId="1BA2E3EB" w14:textId="77777777" w:rsidR="009A1C3E" w:rsidRPr="009A1C3E" w:rsidRDefault="009A1C3E" w:rsidP="009A1C3E">
      <w:pPr>
        <w:pBdr>
          <w:top w:val="nil"/>
          <w:left w:val="nil"/>
          <w:bottom w:val="nil"/>
          <w:right w:val="nil"/>
          <w:between w:val="nil"/>
          <w:bar w:val="nil"/>
        </w:pBdr>
        <w:suppressAutoHyphens/>
        <w:spacing w:after="120"/>
        <w:ind w:left="2835" w:firstLine="397"/>
        <w:jc w:val="both"/>
        <w:rPr>
          <w:rFonts w:ascii="Calibri" w:eastAsia="Calibri" w:hAnsi="Calibri" w:cs="Calibri"/>
          <w:color w:val="000000"/>
          <w:u w:color="000000"/>
          <w:bdr w:val="nil"/>
          <w:lang w:val="pt-PT" w:eastAsia="pt-BR"/>
        </w:rPr>
      </w:pPr>
      <w:r w:rsidRPr="009A1C3E">
        <w:rPr>
          <w:rFonts w:ascii="Calibri" w:eastAsia="Calibri" w:hAnsi="Calibri" w:cs="Calibri"/>
          <w:color w:val="000000"/>
          <w:u w:color="000000"/>
          <w:bdr w:val="nil"/>
          <w:lang w:val="pt-PT" w:eastAsia="pt-BR"/>
        </w:rPr>
        <w:t xml:space="preserve">Por fim, como a nossa pesquisa contemplou apenas um período nos bancos de dados do COBENGE, deixamos alguns pontos como sugestão para pesquisas (estudos) futuros. </w:t>
      </w:r>
    </w:p>
    <w:p w14:paraId="530E7D1F"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No mesmo sentido desta pesquisa, um ponto a ser estudado é que tipo de contribuição os artigos que tratam especificamente das disciplinas das áreas de Matemática e das Ciências Naturais, publicados no COBENGE, traz para o combate à evasão no Ensino Superior. </w:t>
      </w:r>
    </w:p>
    <w:p w14:paraId="6DE2E46D"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lastRenderedPageBreak/>
        <w:t xml:space="preserve">Para isso, o INEP poderia realizar, acompanhar, atualizar e disponibilizar uma coleta de dados sobre a evasão nos cursos de Engenharia, em nível nacional, para auxiliar o estudo do objeto em questão. </w:t>
      </w:r>
    </w:p>
    <w:p w14:paraId="34622575"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Além disso, as IES poderiam incentivar pesquisas e divulgar dados internos para alimentar os bancos de dados do INEP e administrar as atualizações rotineiramente; esse procedimento contribuiria para realização de pesquisas, bem como ajudaria a manter os alunos nos seus cursos.</w:t>
      </w:r>
    </w:p>
    <w:p w14:paraId="3443B6B9"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Já os professores internos nas IES podem contribuir com vasta riqueza de dados, seja mediante uma pesquisa ou um programa institucional, uma vez que estão mais próximos dos discentes, podendo apontar e avaliar os motivos que levam os alunos à evasão. </w:t>
      </w:r>
    </w:p>
    <w:p w14:paraId="24C59A0C"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Ademais, os alunos necessitam conhecer a grade curricular e como a área profissional escolhida é encaminhada dentro do curso. Isso evitaria que as disciplinas básicas provocassem desinteresse por parte dos alunos que esperam ansiosos pelo contato profissional.</w:t>
      </w:r>
    </w:p>
    <w:p w14:paraId="4BB372BC"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A Educação Básica deve promover o contato dos futuros discentes no Ensino Superior por meio de palestras, minicursos e feiras tecnológicas, em parceria com pesquisadores e IES. </w:t>
      </w:r>
    </w:p>
    <w:p w14:paraId="3E456EDD"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Outra medida importante é disponibilizar ao futuro aluno aproximação das disciplinas das áreas de Matemática e das Ciências Naturais e a forma como elas são aplicadas aos cursos de Engenharia nas IES: como é essa aplicação na área profissional, que relação está atrelada à sala de aula?</w:t>
      </w:r>
    </w:p>
    <w:p w14:paraId="08BAE297"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r w:rsidRPr="009A1C3E">
        <w:rPr>
          <w:rFonts w:ascii="Calibri" w:eastAsia="Calibri" w:hAnsi="Calibri" w:cs="Calibri"/>
          <w:color w:val="000000"/>
          <w:u w:color="FF0000"/>
          <w:bdr w:val="nil"/>
          <w:lang w:val="pt-PT" w:eastAsia="pt-BR"/>
        </w:rPr>
        <w:t xml:space="preserve">Estas são, do nosso ponto de vista, algumas lacunas, para a realização de pesquisas futuras que provavelmente trarão mais contribuições no sentido de combater e minimizar a desistência dos cursos de Engenharia. </w:t>
      </w:r>
    </w:p>
    <w:p w14:paraId="04936738" w14:textId="77777777" w:rsidR="009A1C3E" w:rsidRPr="009A1C3E" w:rsidRDefault="009A1C3E" w:rsidP="009A1C3E">
      <w:pPr>
        <w:pBdr>
          <w:top w:val="nil"/>
          <w:left w:val="nil"/>
          <w:bottom w:val="nil"/>
          <w:right w:val="nil"/>
          <w:between w:val="nil"/>
          <w:bar w:val="nil"/>
        </w:pBdr>
        <w:spacing w:after="120"/>
        <w:ind w:left="2835" w:firstLine="397"/>
        <w:jc w:val="both"/>
        <w:rPr>
          <w:rFonts w:ascii="Calibri" w:eastAsia="Calibri" w:hAnsi="Calibri" w:cs="Calibri"/>
          <w:color w:val="000000"/>
          <w:u w:color="FF0000"/>
          <w:bdr w:val="nil"/>
          <w:lang w:val="pt-PT" w:eastAsia="pt-BR"/>
        </w:rPr>
      </w:pPr>
    </w:p>
    <w:p w14:paraId="260957AA" w14:textId="6A9A016E" w:rsidR="00566409" w:rsidRDefault="00566409">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3135D678" w14:textId="7C21DA25" w:rsidR="00F85E9B" w:rsidRDefault="00F85E9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39BAA7FD" w14:textId="0F78D98A" w:rsidR="00F85E9B" w:rsidRDefault="00F85E9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2A3E369C" w14:textId="489F9ED9" w:rsidR="00F85E9B" w:rsidRDefault="00F85E9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2E9DC4D3" w14:textId="0A962791" w:rsidR="00F85E9B" w:rsidRDefault="00F85E9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3D78A058" w14:textId="57AC326C"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04174D01" w14:textId="0CF1C4D5"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3218CBF6" w14:textId="7C557920"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7614BBE1" w14:textId="14789F4D"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72840A7C" w14:textId="4E933C1E"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01763B85" w14:textId="2FD61105"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4257AD08" w14:textId="3895E46F"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p w14:paraId="69695448" w14:textId="08D345D2" w:rsidR="000D52FB" w:rsidRDefault="000D52FB">
      <w:pPr>
        <w:spacing w:after="160" w:line="259" w:lineRule="auto"/>
        <w:rPr>
          <w:color w:val="262626"/>
          <w:lang w:val="pt-PT"/>
          <w14:textFill>
            <w14:solidFill>
              <w14:srgbClr w14:val="262626">
                <w14:lumMod w14:val="85000"/>
                <w14:lumOff w14:val="15000"/>
                <w14:lumMod w14:val="85000"/>
                <w14:lumOff w14:val="15000"/>
              </w14:srgbClr>
            </w14:solidFill>
          </w14:textFill>
        </w:rPr>
      </w:pPr>
    </w:p>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2"/>
        <w:gridCol w:w="7376"/>
      </w:tblGrid>
      <w:tr w:rsidR="009E63D6" w:rsidRPr="009E63D6" w14:paraId="08AF8B41" w14:textId="77777777" w:rsidTr="00AE7A8E">
        <w:trPr>
          <w:trHeight w:val="1964"/>
        </w:trPr>
        <w:tc>
          <w:tcPr>
            <w:tcW w:w="2268" w:type="dxa"/>
          </w:tcPr>
          <w:p w14:paraId="791FE764" w14:textId="77777777" w:rsidR="00591618" w:rsidRPr="009E63D6" w:rsidRDefault="00591618" w:rsidP="00AE7A8E">
            <w:pPr>
              <w:rPr>
                <w:color w:val="auto"/>
              </w:rPr>
            </w:pPr>
          </w:p>
        </w:tc>
        <w:tc>
          <w:tcPr>
            <w:tcW w:w="562" w:type="dxa"/>
          </w:tcPr>
          <w:p w14:paraId="57FCD22D" w14:textId="77777777" w:rsidR="00591618" w:rsidRPr="009E63D6" w:rsidRDefault="00591618" w:rsidP="00AE7A8E">
            <w:pPr>
              <w:rPr>
                <w:color w:val="auto"/>
              </w:rPr>
            </w:pPr>
          </w:p>
        </w:tc>
        <w:tc>
          <w:tcPr>
            <w:tcW w:w="7376" w:type="dxa"/>
            <w:vAlign w:val="center"/>
          </w:tcPr>
          <w:p w14:paraId="304C4814" w14:textId="77777777" w:rsidR="00F85E9B" w:rsidRPr="009E63D6" w:rsidRDefault="00F85E9B" w:rsidP="00F85E9B">
            <w:pPr>
              <w:pStyle w:val="tituloprincipal"/>
              <w:rPr>
                <w:color w:val="000000"/>
                <w:lang w:val="en-US"/>
                <w14:textFill>
                  <w14:solidFill>
                    <w14:srgbClr w14:val="000000">
                      <w14:lumMod w14:val="85000"/>
                      <w14:lumOff w14:val="15000"/>
                    </w14:srgbClr>
                  </w14:solidFill>
                </w14:textFill>
              </w:rPr>
            </w:pPr>
            <w:r w:rsidRPr="009E63D6">
              <w:rPr>
                <w:color w:val="000000"/>
                <w:lang w:val="en-US"/>
                <w14:textFill>
                  <w14:solidFill>
                    <w14:srgbClr w14:val="000000">
                      <w14:lumMod w14:val="85000"/>
                      <w14:lumOff w14:val="15000"/>
                    </w14:srgbClr>
                  </w14:solidFill>
                </w14:textFill>
              </w:rPr>
              <w:t>Evasion in of courses Engineering: a look for the COBENGE's works from 2000 to 2014</w:t>
            </w:r>
          </w:p>
          <w:p w14:paraId="446F9B8F" w14:textId="7975E72D" w:rsidR="00591618" w:rsidRPr="009E63D6" w:rsidRDefault="00F85E9B" w:rsidP="00F85E9B">
            <w:pPr>
              <w:pStyle w:val="secaoprimcentral"/>
              <w:rPr>
                <w:color w:val="000000"/>
                <w14:textFill>
                  <w14:solidFill>
                    <w14:srgbClr w14:val="000000">
                      <w14:lumMod w14:val="85000"/>
                      <w14:lumOff w14:val="15000"/>
                    </w14:srgbClr>
                  </w14:solidFill>
                </w14:textFill>
              </w:rPr>
            </w:pPr>
            <w:r w:rsidRPr="009E63D6">
              <w:rPr>
                <w:color w:val="000000"/>
                <w:lang w:val="en-US"/>
                <w14:textFill>
                  <w14:solidFill>
                    <w14:srgbClr w14:val="000000">
                      <w14:lumMod w14:val="85000"/>
                      <w14:lumOff w14:val="15000"/>
                    </w14:srgbClr>
                  </w14:solidFill>
                </w14:textFill>
              </w:rPr>
              <w:t>ABSTRACT</w:t>
            </w:r>
          </w:p>
        </w:tc>
      </w:tr>
      <w:tr w:rsidR="009E63D6" w:rsidRPr="009E63D6" w14:paraId="73F62A0E" w14:textId="77777777" w:rsidTr="00AE7A8E">
        <w:trPr>
          <w:trHeight w:val="6968"/>
        </w:trPr>
        <w:tc>
          <w:tcPr>
            <w:tcW w:w="2268" w:type="dxa"/>
          </w:tcPr>
          <w:p w14:paraId="517DE8F8" w14:textId="77777777" w:rsidR="00591618" w:rsidRPr="009E63D6" w:rsidRDefault="00591618" w:rsidP="00AE7A8E">
            <w:pPr>
              <w:pStyle w:val="afiliacao"/>
              <w:rPr>
                <w:color w:val="auto"/>
              </w:rPr>
            </w:pPr>
          </w:p>
        </w:tc>
        <w:tc>
          <w:tcPr>
            <w:tcW w:w="562" w:type="dxa"/>
          </w:tcPr>
          <w:p w14:paraId="665F6050" w14:textId="77777777" w:rsidR="00591618" w:rsidRPr="009E63D6" w:rsidRDefault="00591618" w:rsidP="00AE7A8E">
            <w:pPr>
              <w:jc w:val="both"/>
              <w:rPr>
                <w:color w:val="auto"/>
              </w:rPr>
            </w:pPr>
          </w:p>
        </w:tc>
        <w:tc>
          <w:tcPr>
            <w:tcW w:w="7376" w:type="dxa"/>
          </w:tcPr>
          <w:p w14:paraId="05C6D6B8" w14:textId="77777777" w:rsidR="00F85E9B" w:rsidRPr="009E63D6" w:rsidRDefault="00F85E9B" w:rsidP="00F85E9B">
            <w:pPr>
              <w:pStyle w:val="resumo"/>
              <w:rPr>
                <w:color w:val="000000"/>
                <w:lang w:val="es-ES_tradnl"/>
                <w14:textFill>
                  <w14:solidFill>
                    <w14:srgbClr w14:val="000000">
                      <w14:lumMod w14:val="85000"/>
                      <w14:lumOff w14:val="15000"/>
                      <w14:lumMod w14:val="85000"/>
                      <w14:lumOff w14:val="15000"/>
                    </w14:srgbClr>
                  </w14:solidFill>
                </w14:textFill>
              </w:rPr>
            </w:pPr>
            <w:r w:rsidRPr="009E63D6">
              <w:rPr>
                <w:color w:val="000000"/>
                <w:lang w:val="pt-PT"/>
                <w14:textFill>
                  <w14:solidFill>
                    <w14:srgbClr w14:val="000000">
                      <w14:lumMod w14:val="85000"/>
                      <w14:lumOff w14:val="15000"/>
                      <w14:lumMod w14:val="85000"/>
                      <w14:lumOff w14:val="15000"/>
                    </w14:srgbClr>
                  </w14:solidFill>
                </w14:textFill>
              </w:rPr>
              <w:t xml:space="preserve">This objective of this article is the factors of student evasion in the course of Engineering from the work presented at the Brazilian Congress on Engineering Education (COBENGE), in the period understood year 2000 to 2014. The period established to analyze COBENGE's work coincides with the beginning of the expansion of higher education in the country in the purpose of political and economic investments that contributed to the democratization of national. </w:t>
            </w:r>
            <w:proofErr w:type="spellStart"/>
            <w:r w:rsidRPr="009E63D6">
              <w:rPr>
                <w:color w:val="000000"/>
                <w:lang w:val="es-ES_tradnl"/>
                <w14:textFill>
                  <w14:solidFill>
                    <w14:srgbClr w14:val="000000">
                      <w14:lumMod w14:val="85000"/>
                      <w14:lumOff w14:val="15000"/>
                      <w14:lumMod w14:val="85000"/>
                      <w14:lumOff w14:val="15000"/>
                    </w14:srgbClr>
                  </w14:solidFill>
                </w14:textFill>
              </w:rPr>
              <w:t>Education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theory</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based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studies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that</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treat</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evasion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in </w:t>
            </w:r>
            <w:proofErr w:type="spellStart"/>
            <w:r w:rsidRPr="009E63D6">
              <w:rPr>
                <w:color w:val="000000"/>
                <w:lang w:val="es-ES_tradnl"/>
                <w14:textFill>
                  <w14:solidFill>
                    <w14:srgbClr w14:val="000000">
                      <w14:lumMod w14:val="85000"/>
                      <w14:lumOff w14:val="15000"/>
                      <w14:lumMod w14:val="85000"/>
                      <w14:lumOff w14:val="15000"/>
                    </w14:srgbClr>
                  </w14:solidFill>
                </w14:textFill>
              </w:rPr>
              <w:t>Higher</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Education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Methodologically</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inserted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into</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a </w:t>
            </w:r>
            <w:proofErr w:type="spellStart"/>
            <w:r w:rsidRPr="009E63D6">
              <w:rPr>
                <w:color w:val="000000"/>
                <w:lang w:val="es-ES_tradnl"/>
                <w14:textFill>
                  <w14:solidFill>
                    <w14:srgbClr w14:val="000000">
                      <w14:lumMod w14:val="85000"/>
                      <w14:lumOff w14:val="15000"/>
                      <w14:lumMod w14:val="85000"/>
                      <w14:lumOff w14:val="15000"/>
                    </w14:srgbClr>
                  </w14:solidFill>
                </w14:textFill>
              </w:rPr>
              <w:t>mixed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approach</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since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research</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modality</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was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status </w:t>
            </w:r>
            <w:proofErr w:type="spellStart"/>
            <w:r w:rsidRPr="009E63D6">
              <w:rPr>
                <w:color w:val="000000"/>
                <w:lang w:val="es-ES_tradnl"/>
                <w14:textFill>
                  <w14:solidFill>
                    <w14:srgbClr w14:val="000000">
                      <w14:lumMod w14:val="85000"/>
                      <w14:lumOff w14:val="15000"/>
                      <w14:lumMod w14:val="85000"/>
                      <w14:lumOff w14:val="15000"/>
                    </w14:srgbClr>
                  </w14:solidFill>
                </w14:textFill>
              </w:rPr>
              <w:t>of</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art and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data </w:t>
            </w:r>
            <w:proofErr w:type="spellStart"/>
            <w:r w:rsidRPr="009E63D6">
              <w:rPr>
                <w:color w:val="000000"/>
                <w:lang w:val="es-ES_tradnl"/>
                <w14:textFill>
                  <w14:solidFill>
                    <w14:srgbClr w14:val="000000">
                      <w14:lumMod w14:val="85000"/>
                      <w14:lumOff w14:val="15000"/>
                      <w14:lumMod w14:val="85000"/>
                      <w14:lumOff w14:val="15000"/>
                    </w14:srgbClr>
                  </w14:solidFill>
                </w14:textFill>
              </w:rPr>
              <w:t>analysis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followed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statistical</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approach</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Analysis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indicated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that</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it</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is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necessary</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to</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help</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students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opportunizing</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environments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in </w:t>
            </w:r>
            <w:proofErr w:type="spellStart"/>
            <w:r w:rsidRPr="009E63D6">
              <w:rPr>
                <w:color w:val="000000"/>
                <w:lang w:val="es-ES_tradnl"/>
                <w14:textFill>
                  <w14:solidFill>
                    <w14:srgbClr w14:val="000000">
                      <w14:lumMod w14:val="85000"/>
                      <w14:lumOff w14:val="15000"/>
                      <w14:lumMod w14:val="85000"/>
                      <w14:lumOff w14:val="15000"/>
                    </w14:srgbClr>
                  </w14:solidFill>
                </w14:textFill>
              </w:rPr>
              <w:t>which</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they</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can complete </w:t>
            </w:r>
            <w:proofErr w:type="spellStart"/>
            <w:r w:rsidRPr="009E63D6">
              <w:rPr>
                <w:color w:val="000000"/>
                <w:lang w:val="es-ES_tradnl"/>
                <w14:textFill>
                  <w14:solidFill>
                    <w14:srgbClr w14:val="000000">
                      <w14:lumMod w14:val="85000"/>
                      <w14:lumOff w14:val="15000"/>
                      <w14:lumMod w14:val="85000"/>
                      <w14:lumOff w14:val="15000"/>
                    </w14:srgbClr>
                  </w14:solidFill>
                </w14:textFill>
              </w:rPr>
              <w:t>the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conceptual </w:t>
            </w:r>
            <w:proofErr w:type="spellStart"/>
            <w:r w:rsidRPr="009E63D6">
              <w:rPr>
                <w:color w:val="000000"/>
                <w:lang w:val="es-ES_tradnl"/>
                <w14:textFill>
                  <w14:solidFill>
                    <w14:srgbClr w14:val="000000">
                      <w14:lumMod w14:val="85000"/>
                      <w14:lumOff w14:val="15000"/>
                      <w14:lumMod w14:val="85000"/>
                      <w14:lumOff w14:val="15000"/>
                    </w14:srgbClr>
                  </w14:solidFill>
                </w14:textFill>
              </w:rPr>
              <w:t>laws</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advised</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of</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possible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efficient</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basic</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educational</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formation</w:t>
            </w:r>
            <w:proofErr w:type="spellEnd"/>
            <w:r w:rsidRPr="009E63D6">
              <w:rPr>
                <w:color w:val="000000"/>
                <w:lang w:val="es-ES_tradnl"/>
                <w14:textFill>
                  <w14:solidFill>
                    <w14:srgbClr w14:val="000000">
                      <w14:lumMod w14:val="85000"/>
                      <w14:lumOff w14:val="15000"/>
                      <w14:lumMod w14:val="85000"/>
                      <w14:lumOff w14:val="15000"/>
                    </w14:srgbClr>
                  </w14:solidFill>
                </w14:textFill>
              </w:rPr>
              <w:t>.</w:t>
            </w:r>
          </w:p>
          <w:p w14:paraId="38280FB6" w14:textId="77777777" w:rsidR="00F85E9B" w:rsidRPr="009E63D6" w:rsidRDefault="00F85E9B" w:rsidP="00F85E9B">
            <w:pPr>
              <w:pStyle w:val="resumo"/>
              <w:rPr>
                <w:b/>
                <w:bCs/>
                <w:color w:val="000000"/>
                <w:lang w:val="en-US"/>
                <w14:textFill>
                  <w14:solidFill>
                    <w14:srgbClr w14:val="000000">
                      <w14:lumMod w14:val="85000"/>
                      <w14:lumOff w14:val="15000"/>
                      <w14:lumMod w14:val="85000"/>
                      <w14:lumOff w14:val="15000"/>
                    </w14:srgbClr>
                  </w14:solidFill>
                </w14:textFill>
              </w:rPr>
            </w:pPr>
            <w:r w:rsidRPr="009E63D6">
              <w:rPr>
                <w:b/>
                <w:bCs/>
                <w:color w:val="000000"/>
                <w:lang w:val="es-ES_tradnl"/>
                <w14:textFill>
                  <w14:solidFill>
                    <w14:srgbClr w14:val="000000">
                      <w14:lumMod w14:val="85000"/>
                      <w14:lumOff w14:val="15000"/>
                      <w14:lumMod w14:val="85000"/>
                      <w14:lumOff w14:val="15000"/>
                    </w14:srgbClr>
                  </w14:solidFill>
                </w14:textFill>
              </w:rPr>
              <w:t xml:space="preserve">KEYWORDS: </w:t>
            </w:r>
            <w:proofErr w:type="spellStart"/>
            <w:r w:rsidRPr="009E63D6">
              <w:rPr>
                <w:color w:val="000000"/>
                <w:lang w:val="es-ES_tradnl"/>
                <w14:textFill>
                  <w14:solidFill>
                    <w14:srgbClr w14:val="000000">
                      <w14:lumMod w14:val="85000"/>
                      <w14:lumOff w14:val="15000"/>
                      <w14:lumMod w14:val="85000"/>
                      <w14:lumOff w14:val="15000"/>
                    </w14:srgbClr>
                  </w14:solidFill>
                </w14:textFill>
              </w:rPr>
              <w:t>Evasion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Engineering</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course</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Higher</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proofErr w:type="spellStart"/>
            <w:r w:rsidRPr="009E63D6">
              <w:rPr>
                <w:color w:val="000000"/>
                <w:lang w:val="es-ES_tradnl"/>
                <w14:textFill>
                  <w14:solidFill>
                    <w14:srgbClr w14:val="000000">
                      <w14:lumMod w14:val="85000"/>
                      <w14:lumOff w14:val="15000"/>
                      <w14:lumMod w14:val="85000"/>
                      <w14:lumOff w14:val="15000"/>
                    </w14:srgbClr>
                  </w14:solidFill>
                </w14:textFill>
              </w:rPr>
              <w:t>Education</w:t>
            </w:r>
            <w:proofErr w:type="spellEnd"/>
            <w:r w:rsidRPr="009E63D6">
              <w:rPr>
                <w:color w:val="000000"/>
                <w:lang w:val="es-ES_tradnl"/>
                <w14:textFill>
                  <w14:solidFill>
                    <w14:srgbClr w14:val="000000">
                      <w14:lumMod w14:val="85000"/>
                      <w14:lumOff w14:val="15000"/>
                      <w14:lumMod w14:val="85000"/>
                      <w14:lumOff w14:val="15000"/>
                    </w14:srgbClr>
                  </w14:solidFill>
                </w14:textFill>
              </w:rPr>
              <w:t xml:space="preserve">. </w:t>
            </w:r>
            <w:r w:rsidRPr="009E63D6">
              <w:rPr>
                <w:color w:val="000000"/>
                <w:lang w:val="pt-PT"/>
                <w14:textFill>
                  <w14:solidFill>
                    <w14:srgbClr w14:val="000000">
                      <w14:lumMod w14:val="85000"/>
                      <w14:lumOff w14:val="15000"/>
                      <w14:lumMod w14:val="85000"/>
                      <w14:lumOff w14:val="15000"/>
                    </w14:srgbClr>
                  </w14:solidFill>
                </w14:textFill>
              </w:rPr>
              <w:t>Mathematics Teaching.</w:t>
            </w:r>
          </w:p>
          <w:p w14:paraId="194D92EB" w14:textId="77777777" w:rsidR="00591618" w:rsidRPr="009E63D6" w:rsidRDefault="00591618" w:rsidP="009C2A96">
            <w:pPr>
              <w:pStyle w:val="resumo"/>
              <w:rPr>
                <w:color w:val="000000"/>
                <w:lang w:val="en-US"/>
                <w14:textFill>
                  <w14:solidFill>
                    <w14:srgbClr w14:val="000000">
                      <w14:lumMod w14:val="85000"/>
                      <w14:lumOff w14:val="15000"/>
                      <w14:lumMod w14:val="85000"/>
                      <w14:lumOff w14:val="15000"/>
                    </w14:srgbClr>
                  </w14:solidFill>
                </w14:textFill>
              </w:rPr>
            </w:pPr>
          </w:p>
          <w:p w14:paraId="146EA680" w14:textId="4A6B3C47" w:rsidR="00001964" w:rsidRPr="009E63D6" w:rsidRDefault="00001964" w:rsidP="00EB2E6D">
            <w:pPr>
              <w:pStyle w:val="resumo"/>
              <w:rPr>
                <w:color w:val="000000"/>
                <w14:textFill>
                  <w14:solidFill>
                    <w14:srgbClr w14:val="000000">
                      <w14:lumMod w14:val="85000"/>
                      <w14:lumOff w14:val="15000"/>
                      <w14:lumMod w14:val="85000"/>
                      <w14:lumOff w14:val="15000"/>
                    </w14:srgbClr>
                  </w14:solidFill>
                </w14:textFill>
              </w:rPr>
            </w:pPr>
          </w:p>
        </w:tc>
      </w:tr>
    </w:tbl>
    <w:p w14:paraId="3DFDC784" w14:textId="6922E71C" w:rsidR="00CE4045" w:rsidRPr="009E63D6" w:rsidRDefault="00CE4045">
      <w:pPr>
        <w:spacing w:after="160" w:line="259" w:lineRule="auto"/>
        <w:rPr>
          <w:color w:val="auto"/>
        </w:rPr>
      </w:pPr>
      <w:r w:rsidRPr="009E63D6">
        <w:rPr>
          <w:color w:val="auto"/>
        </w:rPr>
        <w:br w:type="page"/>
      </w:r>
    </w:p>
    <w:p w14:paraId="2DCC82AF" w14:textId="77777777" w:rsidR="009E63D6" w:rsidRPr="009E63D6" w:rsidRDefault="009E63D6" w:rsidP="009E63D6">
      <w:pPr>
        <w:pBdr>
          <w:top w:val="nil"/>
          <w:left w:val="nil"/>
          <w:bottom w:val="nil"/>
          <w:right w:val="nil"/>
          <w:between w:val="nil"/>
          <w:bar w:val="nil"/>
        </w:pBdr>
        <w:suppressAutoHyphens/>
        <w:spacing w:before="480" w:after="240"/>
        <w:ind w:left="2835"/>
        <w:jc w:val="center"/>
        <w:rPr>
          <w:rFonts w:ascii="Calibri" w:eastAsia="Calibri" w:hAnsi="Calibri" w:cs="Calibri"/>
          <w:color w:val="000000"/>
          <w:u w:color="000000"/>
          <w:bdr w:val="nil"/>
          <w:lang w:val="pt-PT" w:eastAsia="pt-BR"/>
        </w:rPr>
      </w:pPr>
      <w:r w:rsidRPr="009E63D6">
        <w:rPr>
          <w:rFonts w:ascii="Calibri" w:eastAsia="Calibri" w:hAnsi="Calibri" w:cs="Calibri"/>
          <w:b/>
          <w:bCs/>
          <w:color w:val="000000"/>
          <w:u w:color="000000"/>
          <w:bdr w:val="nil"/>
          <w:lang w:val="pt-PT" w:eastAsia="pt-BR"/>
        </w:rPr>
        <w:lastRenderedPageBreak/>
        <w:t>REFERÊNCIAS</w:t>
      </w:r>
    </w:p>
    <w:p w14:paraId="19BE4C4B" w14:textId="31947DA4"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A</w:t>
      </w:r>
      <w:r>
        <w:rPr>
          <w:rFonts w:ascii="Calibri" w:eastAsia="Calibri" w:hAnsi="Calibri" w:cs="Calibri"/>
          <w:color w:val="000000"/>
          <w:u w:color="000000"/>
          <w:bdr w:val="nil"/>
          <w:lang w:val="pt-PT" w:eastAsia="pt-BR"/>
        </w:rPr>
        <w:t xml:space="preserve">UTOR. </w:t>
      </w:r>
      <w:r>
        <w:rPr>
          <w:rFonts w:ascii="Calibri" w:eastAsia="Calibri" w:hAnsi="Calibri" w:cs="Calibri"/>
          <w:b/>
          <w:color w:val="000000"/>
          <w:u w:color="000000"/>
          <w:bdr w:val="nil"/>
          <w:lang w:val="pt-PT" w:eastAsia="pt-BR"/>
        </w:rPr>
        <w:t>Título</w:t>
      </w:r>
      <w:r>
        <w:rPr>
          <w:rFonts w:ascii="Calibri" w:eastAsia="Calibri" w:hAnsi="Calibri" w:cs="Calibri"/>
          <w:color w:val="000000"/>
          <w:u w:color="000000"/>
          <w:bdr w:val="nil"/>
          <w:lang w:val="pt-PT" w:eastAsia="pt-BR"/>
        </w:rPr>
        <w:t xml:space="preserve">. Local. Ano. </w:t>
      </w:r>
      <w:r w:rsidRPr="009E63D6">
        <w:rPr>
          <w:rFonts w:ascii="Calibri" w:eastAsia="Calibri" w:hAnsi="Calibri" w:cs="Calibri"/>
          <w:color w:val="000000"/>
          <w:u w:color="000000"/>
          <w:bdr w:val="nil"/>
          <w:lang w:val="pt-PT" w:eastAsia="pt-BR"/>
        </w:rPr>
        <w:t xml:space="preserve"> </w:t>
      </w:r>
    </w:p>
    <w:p w14:paraId="34818F1F" w14:textId="77777777" w:rsidR="009E63D6" w:rsidRPr="009E63D6" w:rsidRDefault="009E63D6" w:rsidP="009E63D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5"/>
        </w:tabs>
        <w:spacing w:after="480"/>
        <w:ind w:left="2835"/>
        <w:outlineLvl w:val="0"/>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shd w:val="clear" w:color="auto" w:fill="FFFFFF"/>
          <w:lang w:val="pt-PT" w:eastAsia="pt-BR"/>
        </w:rPr>
        <w:t xml:space="preserve">ALMEIDA, O. C. S. </w:t>
      </w:r>
      <w:r w:rsidRPr="009E63D6">
        <w:rPr>
          <w:rFonts w:ascii="Calibri" w:eastAsia="Calibri" w:hAnsi="Calibri" w:cs="Calibri"/>
          <w:b/>
          <w:bCs/>
          <w:color w:val="000000"/>
          <w:u w:color="000000"/>
          <w:bdr w:val="nil"/>
          <w:shd w:val="clear" w:color="auto" w:fill="FFFFFF"/>
          <w:lang w:val="pt-PT" w:eastAsia="pt-BR"/>
        </w:rPr>
        <w:t>Evasão em cursos a distância</w:t>
      </w:r>
      <w:r w:rsidRPr="009E63D6">
        <w:rPr>
          <w:rFonts w:ascii="Calibri" w:eastAsia="Calibri" w:hAnsi="Calibri" w:cs="Calibri"/>
          <w:color w:val="000000"/>
          <w:u w:color="000000"/>
          <w:bdr w:val="nil"/>
          <w:shd w:val="clear" w:color="auto" w:fill="FFFFFF"/>
          <w:lang w:val="pt-PT" w:eastAsia="pt-BR"/>
        </w:rPr>
        <w:t xml:space="preserve">: validação de instrumento, fatores influenciadores e cronologia da desistência. 2007. 177 f. Dissertação (Mestrado em Gestão Social e do Trabalho) – Universidade de Brasília, Brasília, 2007. </w:t>
      </w:r>
      <w:r w:rsidRPr="009E63D6">
        <w:rPr>
          <w:rFonts w:ascii="Calibri" w:eastAsia="Calibri" w:hAnsi="Calibri" w:cs="Calibri"/>
          <w:color w:val="000000"/>
          <w:u w:color="000000"/>
          <w:bdr w:val="nil"/>
          <w:lang w:val="pt-PT" w:eastAsia="pt-BR"/>
        </w:rPr>
        <w:t>Disponível em: &lt;http://repositorio.unb.br/handle/10482/3912&gt;. Acesso em: 10 abr. 2014.</w:t>
      </w:r>
    </w:p>
    <w:p w14:paraId="695C62BD" w14:textId="77777777" w:rsidR="009E63D6" w:rsidRPr="009E63D6" w:rsidRDefault="009E63D6" w:rsidP="009E63D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5"/>
        </w:tabs>
        <w:spacing w:after="480"/>
        <w:ind w:left="2835"/>
        <w:outlineLvl w:val="0"/>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BERTELLI, S. B.; DUATE, W. F. </w:t>
      </w:r>
      <w:r w:rsidRPr="009E63D6">
        <w:rPr>
          <w:rFonts w:ascii="Calibri" w:eastAsia="Calibri" w:hAnsi="Calibri" w:cs="Calibri"/>
          <w:b/>
          <w:bCs/>
          <w:color w:val="000000"/>
          <w:u w:color="000000"/>
          <w:bdr w:val="nil"/>
          <w:lang w:val="pt-PT" w:eastAsia="pt-BR"/>
        </w:rPr>
        <w:t>Universitários em pontes</w:t>
      </w:r>
      <w:r w:rsidRPr="009E63D6">
        <w:rPr>
          <w:rFonts w:ascii="Calibri" w:eastAsia="Calibri" w:hAnsi="Calibri" w:cs="Calibri"/>
          <w:color w:val="000000"/>
          <w:u w:color="000000"/>
          <w:bdr w:val="nil"/>
          <w:lang w:val="pt-PT" w:eastAsia="pt-BR"/>
        </w:rPr>
        <w:t>: a problemática da evasão no ensino superior e caminhos em orientaçã</w:t>
      </w:r>
      <w:r w:rsidRPr="009E63D6">
        <w:rPr>
          <w:rFonts w:ascii="Calibri" w:eastAsia="Calibri" w:hAnsi="Calibri" w:cs="Calibri"/>
          <w:color w:val="000000"/>
          <w:u w:color="000000"/>
          <w:bdr w:val="nil"/>
          <w:lang w:val="en-US" w:eastAsia="pt-BR"/>
        </w:rPr>
        <w:t xml:space="preserve">o </w:t>
      </w:r>
      <w:proofErr w:type="spellStart"/>
      <w:r w:rsidRPr="009E63D6">
        <w:rPr>
          <w:rFonts w:ascii="Calibri" w:eastAsia="Calibri" w:hAnsi="Calibri" w:cs="Calibri"/>
          <w:color w:val="000000"/>
          <w:u w:color="000000"/>
          <w:bdr w:val="nil"/>
          <w:lang w:val="en-US" w:eastAsia="pt-BR"/>
        </w:rPr>
        <w:t>profissional</w:t>
      </w:r>
      <w:proofErr w:type="spellEnd"/>
      <w:r w:rsidRPr="009E63D6">
        <w:rPr>
          <w:rFonts w:ascii="Calibri" w:eastAsia="Calibri" w:hAnsi="Calibri" w:cs="Calibri"/>
          <w:color w:val="000000"/>
          <w:u w:color="000000"/>
          <w:bdr w:val="nil"/>
          <w:lang w:val="en-US" w:eastAsia="pt-BR"/>
        </w:rPr>
        <w:t>. S</w:t>
      </w:r>
      <w:r w:rsidRPr="009E63D6">
        <w:rPr>
          <w:rFonts w:ascii="Calibri" w:eastAsia="Calibri" w:hAnsi="Calibri" w:cs="Calibri"/>
          <w:color w:val="000000"/>
          <w:u w:color="000000"/>
          <w:bdr w:val="nil"/>
          <w:lang w:val="pt-PT" w:eastAsia="pt-BR"/>
        </w:rPr>
        <w:t>ão Paulo: Casa do Psicólogo, 2013. 111p.</w:t>
      </w:r>
    </w:p>
    <w:p w14:paraId="1844DBA2"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BORGES, M. N.; ALMEIDA, N. N. </w:t>
      </w:r>
      <w:r w:rsidRPr="009E63D6">
        <w:rPr>
          <w:rFonts w:ascii="Calibri" w:eastAsia="Calibri" w:hAnsi="Calibri" w:cs="Calibri"/>
          <w:b/>
          <w:bCs/>
          <w:color w:val="000000"/>
          <w:u w:color="000000"/>
          <w:bdr w:val="nil"/>
          <w:lang w:val="pt-PT" w:eastAsia="pt-BR"/>
        </w:rPr>
        <w:t xml:space="preserve">Perspectivas para a Engenharia Nacional - Desafios e Oportunidades. </w:t>
      </w:r>
      <w:r w:rsidRPr="009E63D6">
        <w:rPr>
          <w:rFonts w:ascii="Calibri" w:eastAsia="Calibri" w:hAnsi="Calibri" w:cs="Calibri"/>
          <w:color w:val="000000"/>
          <w:u w:color="000000"/>
          <w:bdr w:val="nil"/>
          <w:lang w:val="pt-PT" w:eastAsia="pt-BR"/>
        </w:rPr>
        <w:t xml:space="preserve">Disponível em: &lt;http://ptdocz.com/doc/330551/baixar-este-arquivo-pdf.&gt; Acesso em: 04 abr. 2016. </w:t>
      </w:r>
    </w:p>
    <w:p w14:paraId="24AA89B4"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BRASIL. Lei no 9.394, de 20 de dezembro de 1996, que estabelece as diretrizes e bases da educação nacional. Disponível em: &lt; http://www.planalto.gov.br/ccivil_03/leis/l9394.htm &gt;.  Acesso em: 12 nov. 2014.</w:t>
      </w:r>
    </w:p>
    <w:p w14:paraId="3D718C8B"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FERREIRA, N. S. A. As pesquisas denominadas “Estado da Arte”. </w:t>
      </w:r>
      <w:r w:rsidRPr="009E63D6">
        <w:rPr>
          <w:rFonts w:ascii="Calibri" w:eastAsia="Calibri" w:hAnsi="Calibri" w:cs="Calibri"/>
          <w:b/>
          <w:bCs/>
          <w:color w:val="000000"/>
          <w:u w:color="000000"/>
          <w:bdr w:val="nil"/>
          <w:lang w:val="pt-PT" w:eastAsia="pt-BR"/>
        </w:rPr>
        <w:t>Educação &amp; Sociedade</w:t>
      </w:r>
      <w:r w:rsidRPr="009E63D6">
        <w:rPr>
          <w:rFonts w:ascii="Calibri" w:eastAsia="Calibri" w:hAnsi="Calibri" w:cs="Calibri"/>
          <w:color w:val="000000"/>
          <w:u w:color="000000"/>
          <w:bdr w:val="nil"/>
          <w:lang w:val="pt-PT" w:eastAsia="pt-BR"/>
        </w:rPr>
        <w:t>, Campinas, v. 23, no 79, p. 258-272,  Ago. 2002. Disponível em: &lt; http://www.scielo.br/pdf/es/v23n79/10857.pdf.&gt;.  Acesso em: 25 set. 2017.</w:t>
      </w:r>
    </w:p>
    <w:p w14:paraId="48297548"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FIORENTINI, D.; LORENZATO, S. </w:t>
      </w:r>
      <w:r w:rsidRPr="009E63D6">
        <w:rPr>
          <w:rFonts w:ascii="Calibri" w:eastAsia="Calibri" w:hAnsi="Calibri" w:cs="Calibri"/>
          <w:b/>
          <w:bCs/>
          <w:color w:val="000000"/>
          <w:u w:color="000000"/>
          <w:bdr w:val="nil"/>
          <w:lang w:val="pt-PT" w:eastAsia="pt-BR"/>
        </w:rPr>
        <w:t>Investigação em educação matemática: percursos teóricos e metodológicos</w:t>
      </w:r>
      <w:r w:rsidRPr="009E63D6">
        <w:rPr>
          <w:rFonts w:ascii="Calibri" w:eastAsia="Calibri" w:hAnsi="Calibri" w:cs="Calibri"/>
          <w:color w:val="000000"/>
          <w:u w:color="000000"/>
          <w:bdr w:val="nil"/>
          <w:lang w:val="pt-PT" w:eastAsia="pt-BR"/>
        </w:rPr>
        <w:t>. 2. ed. Campinas: Ed. Autores Associados, 2006 226p.</w:t>
      </w:r>
    </w:p>
    <w:p w14:paraId="79851B40"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GIL, A. C. </w:t>
      </w:r>
      <w:r w:rsidRPr="009E63D6">
        <w:rPr>
          <w:rFonts w:ascii="Calibri" w:eastAsia="Calibri" w:hAnsi="Calibri" w:cs="Calibri"/>
          <w:b/>
          <w:bCs/>
          <w:color w:val="000000"/>
          <w:u w:color="000000"/>
          <w:bdr w:val="nil"/>
          <w:lang w:val="pt-PT" w:eastAsia="pt-BR"/>
        </w:rPr>
        <w:t>Como elaborar projetos de pesquisa</w:t>
      </w:r>
      <w:r w:rsidRPr="009E63D6">
        <w:rPr>
          <w:rFonts w:ascii="Calibri" w:eastAsia="Calibri" w:hAnsi="Calibri" w:cs="Calibri"/>
          <w:color w:val="000000"/>
          <w:u w:color="000000"/>
          <w:bdr w:val="nil"/>
          <w:lang w:val="pt-PT" w:eastAsia="pt-BR"/>
        </w:rPr>
        <w:t xml:space="preserve">. 6. ed. São Paulo: Atlas, 2008. 201p. </w:t>
      </w:r>
    </w:p>
    <w:p w14:paraId="02736D20"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LOBO, M. B. C. M. Panorama da evasão no ensino superior brasileiro: aspectos gerais das causas e soluções. </w:t>
      </w:r>
      <w:r w:rsidRPr="009E63D6">
        <w:rPr>
          <w:rFonts w:ascii="Calibri" w:eastAsia="Calibri" w:hAnsi="Calibri" w:cs="Calibri"/>
          <w:b/>
          <w:bCs/>
          <w:color w:val="000000"/>
          <w:u w:color="000000"/>
          <w:bdr w:val="nil"/>
          <w:lang w:val="pt-PT" w:eastAsia="pt-BR"/>
        </w:rPr>
        <w:t>ABMES,</w:t>
      </w:r>
      <w:r w:rsidRPr="009E63D6">
        <w:rPr>
          <w:rFonts w:ascii="Calibri" w:eastAsia="Calibri" w:hAnsi="Calibri" w:cs="Calibri"/>
          <w:color w:val="000000"/>
          <w:u w:color="000000"/>
          <w:bdr w:val="nil"/>
          <w:lang w:val="pt-PT" w:eastAsia="pt-BR"/>
        </w:rPr>
        <w:t xml:space="preserve"> Cadernos n. 25. Disponível em: &lt;</w:t>
      </w:r>
      <w:hyperlink r:id="rId9" w:history="1">
        <w:r w:rsidRPr="009E63D6">
          <w:rPr>
            <w:rFonts w:ascii="Calibri" w:eastAsia="Calibri" w:hAnsi="Calibri" w:cs="Calibri"/>
            <w:color w:val="000000"/>
            <w:u w:val="single" w:color="000000"/>
            <w:bdr w:val="nil"/>
            <w:lang w:val="pt-PT" w:eastAsia="pt-BR"/>
          </w:rPr>
          <w:t>http://www.institutolobo.org.br/imagens/pdf/artigos/art_087.pdf</w:t>
        </w:r>
      </w:hyperlink>
      <w:r w:rsidRPr="009E63D6">
        <w:rPr>
          <w:rFonts w:ascii="Calibri" w:eastAsia="Calibri" w:hAnsi="Calibri" w:cs="Calibri"/>
          <w:color w:val="000000"/>
          <w:u w:color="000000"/>
          <w:bdr w:val="nil"/>
          <w:lang w:val="pt-PT" w:eastAsia="pt-BR"/>
        </w:rPr>
        <w:t>&gt;, dez. 2012. Acesso em: 26 abr. 2014.</w:t>
      </w:r>
    </w:p>
    <w:p w14:paraId="212E164E"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LUCCHIARI, Dulce Helena Penna Soares. As Diferentes Abordagens em Orientação Profissional em Ação: Formação e Prática de Orientandos. In: </w:t>
      </w:r>
      <w:r w:rsidRPr="009E63D6">
        <w:rPr>
          <w:rFonts w:ascii="Calibri" w:eastAsia="Calibri" w:hAnsi="Calibri" w:cs="Calibri"/>
          <w:b/>
          <w:bCs/>
          <w:color w:val="000000"/>
          <w:u w:color="000000"/>
          <w:bdr w:val="nil"/>
          <w:lang w:val="pt-PT" w:eastAsia="pt-BR"/>
        </w:rPr>
        <w:t>Orientação Profissional em Ação: formação e prática de orientadores</w:t>
      </w:r>
      <w:r w:rsidRPr="009E63D6">
        <w:rPr>
          <w:rFonts w:ascii="Calibri" w:eastAsia="Calibri" w:hAnsi="Calibri" w:cs="Calibri"/>
          <w:color w:val="000000"/>
          <w:u w:color="000000"/>
          <w:bdr w:val="nil"/>
          <w:lang w:val="pt-PT" w:eastAsia="pt-BR"/>
        </w:rPr>
        <w:t xml:space="preserve">. São Paulo: Summus, 2000 p.[28]-225. </w:t>
      </w:r>
    </w:p>
    <w:p w14:paraId="001A723A"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lastRenderedPageBreak/>
        <w:t xml:space="preserve">MENESTRINA, T. C.; GOUDARD, B. Atualização e revisão pedagógica de cálculo e álgebra: concepções e atitudes inovadoras. In: CONGRESSO BRASILEIRO DE EDUCAÇÃO EM ENGENHARIA – COBENGE, 31. 2003, Rio de Janeiro. </w:t>
      </w:r>
      <w:r w:rsidRPr="009E63D6">
        <w:rPr>
          <w:rFonts w:ascii="Calibri" w:eastAsia="Calibri" w:hAnsi="Calibri" w:cs="Calibri"/>
          <w:b/>
          <w:bCs/>
          <w:color w:val="000000"/>
          <w:u w:color="000000"/>
          <w:bdr w:val="nil"/>
          <w:lang w:val="pt-PT" w:eastAsia="pt-BR"/>
        </w:rPr>
        <w:t>Anais</w:t>
      </w:r>
      <w:r w:rsidRPr="009E63D6">
        <w:rPr>
          <w:rFonts w:ascii="Calibri" w:eastAsia="Calibri" w:hAnsi="Calibri" w:cs="Calibri"/>
          <w:color w:val="000000"/>
          <w:u w:color="000000"/>
          <w:bdr w:val="nil"/>
          <w:lang w:val="pt-PT" w:eastAsia="pt-BR"/>
        </w:rPr>
        <w:t xml:space="preserve">... Rio de Janeiro, 2003. Disponível em: &lt;http://198.136.59.239/~abengeorg/CobengeAnteriores/2003/artigos/NMT126.pdf.&gt; Acesso em: 2 maio 2015. </w:t>
      </w:r>
    </w:p>
    <w:p w14:paraId="119CD4EB"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OLIVEIRA, V. F. (Org.) </w:t>
      </w:r>
      <w:r w:rsidRPr="009E63D6">
        <w:rPr>
          <w:rFonts w:ascii="Calibri" w:eastAsia="Calibri" w:hAnsi="Calibri" w:cs="Calibri"/>
          <w:b/>
          <w:bCs/>
          <w:color w:val="000000"/>
          <w:u w:color="000000"/>
          <w:bdr w:val="nil"/>
          <w:lang w:val="pt-PT" w:eastAsia="pt-BR"/>
        </w:rPr>
        <w:t xml:space="preserve">Trajetória e estado da arte da formação em Engenharia, Arquitetura e Agronomia. Volume I: Engenharias. </w:t>
      </w:r>
      <w:r w:rsidRPr="009E63D6">
        <w:rPr>
          <w:rFonts w:ascii="Calibri" w:eastAsia="Calibri" w:hAnsi="Calibri" w:cs="Calibri"/>
          <w:color w:val="000000"/>
          <w:u w:color="000000"/>
          <w:bdr w:val="nil"/>
          <w:lang w:val="pt-PT" w:eastAsia="pt-BR"/>
        </w:rPr>
        <w:t>1. ed. Brasília: INEP/MEC, 2010. v.1. 304p. Disponível em: &lt;http://www.ufjf.br/observatorioengenharia/files/2012/01/vol1.pdf.&gt; Acesso em: 10 jan. 2016.</w:t>
      </w:r>
    </w:p>
    <w:p w14:paraId="48A0F78A"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PALANCH, W. B. de L.; PIRES, C. M. C. Estado da arte das teses e dissertações sobre currículos de matemática: um panorama das pesquisas brasileiras. In: FÓRUM NACIONAL SOBRE CURRÍCULOS DE MATEMÁTICA PESQUISAS E POLÍTICAS PÚBLICAS. PUC-SP, 2., 2013, São Paulo. </w:t>
      </w:r>
      <w:r w:rsidRPr="009E63D6">
        <w:rPr>
          <w:rFonts w:ascii="Calibri" w:eastAsia="Calibri" w:hAnsi="Calibri" w:cs="Calibri"/>
          <w:b/>
          <w:bCs/>
          <w:color w:val="000000"/>
          <w:u w:color="000000"/>
          <w:bdr w:val="nil"/>
          <w:lang w:val="pt-PT" w:eastAsia="pt-BR"/>
        </w:rPr>
        <w:t>Anais...</w:t>
      </w:r>
      <w:r w:rsidRPr="009E63D6">
        <w:rPr>
          <w:rFonts w:ascii="Calibri" w:eastAsia="Calibri" w:hAnsi="Calibri" w:cs="Calibri"/>
          <w:color w:val="000000"/>
          <w:u w:color="000000"/>
          <w:bdr w:val="nil"/>
          <w:lang w:val="pt-PT" w:eastAsia="pt-BR"/>
        </w:rPr>
        <w:t xml:space="preserve"> São Paulo: PUC-SP, 2013. 1 CD-ROM. </w:t>
      </w:r>
    </w:p>
    <w:p w14:paraId="62454BDE"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PATTO, M. H. S. </w:t>
      </w:r>
      <w:r w:rsidRPr="009E63D6">
        <w:rPr>
          <w:rFonts w:ascii="Calibri" w:eastAsia="Calibri" w:hAnsi="Calibri" w:cs="Calibri"/>
          <w:b/>
          <w:bCs/>
          <w:color w:val="000000"/>
          <w:u w:color="000000"/>
          <w:bdr w:val="nil"/>
          <w:lang w:val="pt-PT" w:eastAsia="pt-BR"/>
        </w:rPr>
        <w:t>A produção do fracasso escolar: histórias de submissã</w:t>
      </w:r>
      <w:r w:rsidRPr="009E63D6">
        <w:rPr>
          <w:rFonts w:ascii="Calibri" w:eastAsia="Calibri" w:hAnsi="Calibri" w:cs="Calibri"/>
          <w:b/>
          <w:bCs/>
          <w:color w:val="000000"/>
          <w:u w:color="000000"/>
          <w:bdr w:val="nil"/>
          <w:lang w:val="it-IT" w:eastAsia="pt-BR"/>
        </w:rPr>
        <w:t>o e rebeldia.</w:t>
      </w:r>
      <w:r w:rsidRPr="009E63D6">
        <w:rPr>
          <w:rFonts w:ascii="Calibri" w:eastAsia="Calibri" w:hAnsi="Calibri" w:cs="Calibri"/>
          <w:color w:val="000000"/>
          <w:u w:color="000000"/>
          <w:bdr w:val="nil"/>
          <w:lang w:val="pt-PT" w:eastAsia="pt-BR"/>
        </w:rPr>
        <w:t xml:space="preserve"> Rio de Janeiro: T. A. Queiroz, 1990. 322p.</w:t>
      </w:r>
    </w:p>
    <w:p w14:paraId="177C74CB"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 xml:space="preserve">ROMANOWSKI, J. P.; ENS, R. T. As pesquisas denominadas do tipo “Estado da Arte” em educação. </w:t>
      </w:r>
      <w:r w:rsidRPr="009E63D6">
        <w:rPr>
          <w:rFonts w:ascii="Calibri" w:eastAsia="Calibri" w:hAnsi="Calibri" w:cs="Calibri"/>
          <w:b/>
          <w:bCs/>
          <w:color w:val="000000"/>
          <w:u w:color="000000"/>
          <w:bdr w:val="nil"/>
          <w:lang w:val="pt-PT" w:eastAsia="pt-BR"/>
        </w:rPr>
        <w:t>Diálogo Educacional</w:t>
      </w:r>
      <w:r w:rsidRPr="009E63D6">
        <w:rPr>
          <w:rFonts w:ascii="Calibri" w:eastAsia="Calibri" w:hAnsi="Calibri" w:cs="Calibri"/>
          <w:color w:val="000000"/>
          <w:u w:color="000000"/>
          <w:bdr w:val="nil"/>
          <w:lang w:val="pt-PT" w:eastAsia="pt-BR"/>
        </w:rPr>
        <w:t>, Curitiba, v. 6, n. 19, p. 37-50, set./dez. 2006.</w:t>
      </w:r>
    </w:p>
    <w:p w14:paraId="1C994DDD"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Calibri" w:eastAsia="Calibri" w:hAnsi="Calibri" w:cs="Calibri"/>
          <w:color w:val="000000"/>
          <w:u w:color="000000"/>
          <w:bdr w:val="nil"/>
          <w:lang w:val="pt-PT" w:eastAsia="pt-BR"/>
        </w:rPr>
      </w:pPr>
      <w:r w:rsidRPr="009E63D6">
        <w:rPr>
          <w:rFonts w:ascii="Calibri" w:eastAsia="Calibri" w:hAnsi="Calibri" w:cs="Calibri"/>
          <w:color w:val="000000"/>
          <w:u w:color="000000"/>
          <w:bdr w:val="nil"/>
          <w:lang w:val="pt-PT" w:eastAsia="pt-BR"/>
        </w:rPr>
        <w:t>TRIVIÑOS, A. N. S.</w:t>
      </w:r>
      <w:r w:rsidRPr="009E63D6">
        <w:rPr>
          <w:rFonts w:ascii="Calibri" w:eastAsia="Calibri" w:hAnsi="Calibri" w:cs="Calibri"/>
          <w:b/>
          <w:bCs/>
          <w:color w:val="000000"/>
          <w:u w:color="000000"/>
          <w:bdr w:val="nil"/>
          <w:lang w:val="pt-PT" w:eastAsia="pt-BR"/>
        </w:rPr>
        <w:t xml:space="preserve"> Introdução à pesquisa em ciências sociais: a pesquisa qualitativa em educação</w:t>
      </w:r>
      <w:r w:rsidRPr="009E63D6">
        <w:rPr>
          <w:rFonts w:ascii="Calibri" w:eastAsia="Calibri" w:hAnsi="Calibri" w:cs="Calibri"/>
          <w:color w:val="000000"/>
          <w:u w:color="000000"/>
          <w:bdr w:val="nil"/>
          <w:lang w:val="pt-PT" w:eastAsia="pt-BR"/>
        </w:rPr>
        <w:t>. São Paulo: Atlas, 1987.</w:t>
      </w:r>
    </w:p>
    <w:p w14:paraId="404CE104" w14:textId="77777777" w:rsidR="009E63D6" w:rsidRPr="009E63D6" w:rsidRDefault="009E63D6" w:rsidP="009E63D6">
      <w:pPr>
        <w:pBdr>
          <w:top w:val="nil"/>
          <w:left w:val="nil"/>
          <w:bottom w:val="nil"/>
          <w:right w:val="nil"/>
          <w:between w:val="nil"/>
          <w:bar w:val="nil"/>
        </w:pBdr>
        <w:suppressAutoHyphens/>
        <w:spacing w:after="480"/>
        <w:ind w:left="2835"/>
        <w:jc w:val="both"/>
        <w:rPr>
          <w:rFonts w:ascii="Arial" w:eastAsia="Arial Unicode MS" w:hAnsi="Arial" w:cs="Arial Unicode MS"/>
          <w:color w:val="000000"/>
          <w:sz w:val="24"/>
          <w:szCs w:val="24"/>
          <w:u w:color="000000"/>
          <w:bdr w:val="nil"/>
          <w:lang w:val="pt-PT" w:eastAsia="pt-BR"/>
        </w:rPr>
      </w:pPr>
    </w:p>
    <w:p w14:paraId="67601757" w14:textId="77777777" w:rsidR="00137BE4" w:rsidRPr="00935DE6" w:rsidRDefault="00137BE4" w:rsidP="009E63D6">
      <w:pPr>
        <w:pStyle w:val="tituloselementospostextuais"/>
      </w:pPr>
    </w:p>
    <w:sectPr w:rsidR="00137BE4" w:rsidRPr="00935DE6" w:rsidSect="0086421E">
      <w:headerReference w:type="default" r:id="rId10"/>
      <w:footerReference w:type="default" r:id="rId11"/>
      <w:headerReference w:type="first" r:id="rId12"/>
      <w:footerReference w:type="first" r:id="rId13"/>
      <w:pgSz w:w="11906" w:h="16838" w:code="9"/>
      <w:pgMar w:top="1850" w:right="1134" w:bottom="1293" w:left="62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5AB3" w14:textId="77777777" w:rsidR="00D44116" w:rsidRDefault="00D44116" w:rsidP="00500465">
      <w:r>
        <w:separator/>
      </w:r>
    </w:p>
  </w:endnote>
  <w:endnote w:type="continuationSeparator" w:id="0">
    <w:p w14:paraId="59A79585" w14:textId="77777777" w:rsidR="00D44116" w:rsidRDefault="00D44116" w:rsidP="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7133" w14:textId="32EE232D" w:rsidR="00D44116" w:rsidRDefault="00D44116">
    <w:pPr>
      <w:rPr>
        <w:rFonts w:ascii="Arial" w:hAnsi="Arial" w:cs="Arial"/>
        <w:sz w:val="12"/>
        <w:szCs w:val="12"/>
      </w:rPr>
    </w:pPr>
    <w:r>
      <w:rPr>
        <w:noProof/>
        <w:lang w:eastAsia="pt-BR"/>
      </w:rPr>
      <mc:AlternateContent>
        <mc:Choice Requires="wps">
          <w:drawing>
            <wp:anchor distT="0" distB="0" distL="114300" distR="114300" simplePos="0" relativeHeight="251658240" behindDoc="0" locked="0" layoutInCell="0" allowOverlap="1" wp14:anchorId="010D9C8E" wp14:editId="0EE1468C">
              <wp:simplePos x="0" y="0"/>
              <wp:positionH relativeFrom="page">
                <wp:posOffset>0</wp:posOffset>
              </wp:positionH>
              <wp:positionV relativeFrom="margin">
                <wp:posOffset>8234457</wp:posOffset>
              </wp:positionV>
              <wp:extent cx="760781" cy="328930"/>
              <wp:effectExtent l="0" t="0" r="1270" b="9525"/>
              <wp:wrapNone/>
              <wp:docPr id="52"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FA7E" w14:textId="3C9CCDA4" w:rsidR="00D44116" w:rsidRPr="00935DE6" w:rsidRDefault="00D44116">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Pr>
                              <w:noProof/>
                              <w:color w:val="242424"/>
                              <w:sz w:val="14"/>
                              <w:szCs w:val="14"/>
                            </w:rPr>
                            <w:t>20</w:t>
                          </w:r>
                          <w:r w:rsidRPr="00935DE6">
                            <w:rPr>
                              <w:color w:val="242424"/>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10D9C8E" id="Retângulo 52" o:spid="_x0000_s1026" style="position:absolute;margin-left:0;margin-top:648.4pt;width:59.9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" o:allowincell="f" stroked="f">
              <v:textbox style="mso-fit-shape-to-text:t" inset="0,,0">
                <w:txbxContent>
                  <w:p w14:paraId="0BE2FA7E" w14:textId="3C9CCDA4" w:rsidR="00D44116" w:rsidRPr="00935DE6" w:rsidRDefault="00D44116">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Pr>
                        <w:noProof/>
                        <w:color w:val="242424"/>
                        <w:sz w:val="14"/>
                        <w:szCs w:val="14"/>
                      </w:rPr>
                      <w:t>20</w:t>
                    </w:r>
                    <w:r w:rsidRPr="00935DE6">
                      <w:rPr>
                        <w:color w:val="242424"/>
                        <w:sz w:val="14"/>
                        <w:szCs w:val="14"/>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14:anchorId="74C83B54" wp14:editId="2882AD5D">
          <wp:extent cx="7200000" cy="24131"/>
          <wp:effectExtent l="0" t="0" r="127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ecSoc_Template_Rodape_.jpg"/>
                  <pic:cNvPicPr/>
                </pic:nvPicPr>
                <pic:blipFill>
                  <a:blip r:embed="rId1">
                    <a:extLst>
                      <a:ext uri="{28A0092B-C50C-407E-A947-70E740481C1C}">
                        <a14:useLocalDpi xmlns:a14="http://schemas.microsoft.com/office/drawing/2010/main" val="0"/>
                      </a:ext>
                    </a:extLst>
                  </a:blip>
                  <a:stretch>
                    <a:fillRect/>
                  </a:stretch>
                </pic:blipFill>
                <pic:spPr>
                  <a:xfrm>
                    <a:off x="0" y="0"/>
                    <a:ext cx="7200000" cy="24131"/>
                  </a:xfrm>
                  <a:prstGeom prst="rect">
                    <a:avLst/>
                  </a:prstGeom>
                </pic:spPr>
              </pic:pic>
            </a:graphicData>
          </a:graphic>
        </wp:inline>
      </w:drawing>
    </w:r>
  </w:p>
  <w:p w14:paraId="6419CE68" w14:textId="7CC72053" w:rsidR="00D44116" w:rsidRPr="007D141B" w:rsidRDefault="00D44116" w:rsidP="0039075A">
    <w:pPr>
      <w:pStyle w:val="legendabibliografica"/>
    </w:pPr>
    <w:r>
      <w:t xml:space="preserve">R. bras. Ens. </w:t>
    </w:r>
    <w:proofErr w:type="spellStart"/>
    <w:r>
      <w:t>Ci</w:t>
    </w:r>
    <w:proofErr w:type="spellEnd"/>
    <w:r>
      <w:t>. Tecnol.</w:t>
    </w:r>
    <w:r w:rsidRPr="007D141B">
      <w:t xml:space="preserve">, </w:t>
    </w:r>
    <w:r w:rsidRPr="00847AA0">
      <w:t>Ponta Grossa</w:t>
    </w:r>
    <w:r>
      <w:t>, v. 9, n. 1, p. 1-7</w:t>
    </w:r>
    <w:r w:rsidRPr="007D141B">
      <w:t>, jan./abr. 2016.</w:t>
    </w:r>
  </w:p>
  <w:p w14:paraId="7A2DE64D"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4DE9073E"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7FC7A552"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291E25CA"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049C788C"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01C95540"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p w14:paraId="23D8292E" w14:textId="77777777" w:rsidR="00D44116" w:rsidRPr="007D141B" w:rsidRDefault="00D44116">
    <w:pPr>
      <w:rPr>
        <w:rFonts w:ascii="Arial" w:hAnsi="Arial" w:cs="Arial"/>
        <w:color w:val="575757"/>
        <w:sz w:val="12"/>
        <w:szCs w:val="12"/>
        <w14:textFill>
          <w14:solidFill>
            <w14:srgbClr w14:val="575757">
              <w14:lumMod w14:val="85000"/>
              <w14:lumOff w14:val="15000"/>
            </w14:srgbClr>
          </w14:solid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396F" w14:textId="6D2B1F9D" w:rsidR="00D44116" w:rsidRDefault="00D44116" w:rsidP="00622B44">
    <w:pPr>
      <w:rPr>
        <w:rFonts w:ascii="Arial" w:hAnsi="Arial" w:cs="Arial"/>
        <w:sz w:val="12"/>
        <w:szCs w:val="12"/>
      </w:rPr>
    </w:pPr>
    <w:r>
      <w:rPr>
        <w:noProof/>
        <w:lang w:eastAsia="pt-BR"/>
      </w:rPr>
      <mc:AlternateContent>
        <mc:Choice Requires="wps">
          <w:drawing>
            <wp:anchor distT="0" distB="0" distL="114300" distR="114300" simplePos="0" relativeHeight="251654144" behindDoc="0" locked="0" layoutInCell="0" allowOverlap="1" wp14:anchorId="412642E0" wp14:editId="45A243BC">
              <wp:simplePos x="0" y="0"/>
              <wp:positionH relativeFrom="page">
                <wp:posOffset>0</wp:posOffset>
              </wp:positionH>
              <wp:positionV relativeFrom="margin">
                <wp:posOffset>7722012</wp:posOffset>
              </wp:positionV>
              <wp:extent cx="767715" cy="328930"/>
              <wp:effectExtent l="0" t="0" r="0" b="9525"/>
              <wp:wrapNone/>
              <wp:docPr id="49" name="Retâ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7599E" w14:textId="5ABDF061" w:rsidR="00D44116" w:rsidRPr="00935DE6" w:rsidRDefault="00D44116">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Pr>
                              <w:noProof/>
                              <w:color w:val="242424"/>
                              <w:sz w:val="14"/>
                              <w:szCs w:val="14"/>
                            </w:rPr>
                            <w:t>1</w:t>
                          </w:r>
                          <w:r w:rsidRPr="00935DE6">
                            <w:rPr>
                              <w:color w:val="242424"/>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412642E0" id="Retângulo 49" o:spid="_x0000_s1027" style="position:absolute;margin-left:0;margin-top:608.05pt;width:60.45pt;height:2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" o:allowincell="f" stroked="f">
              <v:textbox style="mso-fit-shape-to-text:t" inset="0,,0">
                <w:txbxContent>
                  <w:p w14:paraId="12F7599E" w14:textId="5ABDF061" w:rsidR="00D44116" w:rsidRPr="00935DE6" w:rsidRDefault="00D44116">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Pr>
                        <w:noProof/>
                        <w:color w:val="242424"/>
                        <w:sz w:val="14"/>
                        <w:szCs w:val="14"/>
                      </w:rPr>
                      <w:t>1</w:t>
                    </w:r>
                    <w:r w:rsidRPr="00935DE6">
                      <w:rPr>
                        <w:color w:val="242424"/>
                        <w:sz w:val="14"/>
                        <w:szCs w:val="14"/>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14:anchorId="2A68C465" wp14:editId="1818B8FE">
          <wp:extent cx="7200000" cy="24131"/>
          <wp:effectExtent l="0" t="0" r="127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TecSoc_Template_Rodape_.jpg"/>
                  <pic:cNvPicPr/>
                </pic:nvPicPr>
                <pic:blipFill>
                  <a:blip r:embed="rId1">
                    <a:extLst>
                      <a:ext uri="{28A0092B-C50C-407E-A947-70E740481C1C}">
                        <a14:useLocalDpi xmlns:a14="http://schemas.microsoft.com/office/drawing/2010/main" val="0"/>
                      </a:ext>
                    </a:extLst>
                  </a:blip>
                  <a:stretch>
                    <a:fillRect/>
                  </a:stretch>
                </pic:blipFill>
                <pic:spPr>
                  <a:xfrm>
                    <a:off x="0" y="0"/>
                    <a:ext cx="7200000" cy="24131"/>
                  </a:xfrm>
                  <a:prstGeom prst="rect">
                    <a:avLst/>
                  </a:prstGeom>
                </pic:spPr>
              </pic:pic>
            </a:graphicData>
          </a:graphic>
        </wp:inline>
      </w:drawing>
    </w:r>
  </w:p>
  <w:tbl>
    <w:tblPr>
      <w:tblStyle w:val="Tabelacomgrade"/>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8" w:type="dxa"/>
      </w:tblCellMar>
      <w:tblLook w:val="04A0" w:firstRow="1" w:lastRow="0" w:firstColumn="1" w:lastColumn="0" w:noHBand="0" w:noVBand="1"/>
    </w:tblPr>
    <w:tblGrid>
      <w:gridCol w:w="5069"/>
      <w:gridCol w:w="5699"/>
    </w:tblGrid>
    <w:tr w:rsidR="00D44116" w:rsidRPr="00DE16D0" w14:paraId="01BA4E6E" w14:textId="77777777" w:rsidTr="00251889">
      <w:tc>
        <w:tcPr>
          <w:tcW w:w="5069" w:type="dxa"/>
        </w:tcPr>
        <w:p w14:paraId="15F453A2" w14:textId="60EBA0B9" w:rsidR="00D44116" w:rsidRPr="00847AA0" w:rsidRDefault="00D44116" w:rsidP="00E767FA">
          <w:pPr>
            <w:pStyle w:val="legendabibliografica"/>
          </w:pPr>
          <w:r>
            <w:t xml:space="preserve">R. bras. Ens. </w:t>
          </w:r>
          <w:proofErr w:type="spellStart"/>
          <w:r>
            <w:t>Ci</w:t>
          </w:r>
          <w:proofErr w:type="spellEnd"/>
          <w:r>
            <w:t>. Tecnol.</w:t>
          </w:r>
          <w:r w:rsidRPr="00847AA0">
            <w:t>, Ponta Grossa, v. 9, n. 1, p. 1-24, jan./abr. 2016.</w:t>
          </w:r>
        </w:p>
      </w:tc>
      <w:tc>
        <w:tcPr>
          <w:tcW w:w="5699" w:type="dxa"/>
        </w:tcPr>
        <w:p w14:paraId="59392E83" w14:textId="5085AB5A" w:rsidR="00D44116" w:rsidRPr="00847AA0" w:rsidRDefault="00D44116" w:rsidP="00622B44">
          <w:pPr>
            <w:jc w:val="right"/>
            <w:rPr>
              <w:rFonts w:ascii="Arial" w:hAnsi="Arial" w:cs="Arial"/>
              <w:color w:val="575757"/>
              <w:sz w:val="14"/>
              <w:szCs w:val="14"/>
              <w14:textFill>
                <w14:solidFill>
                  <w14:srgbClr w14:val="575757">
                    <w14:lumMod w14:val="85000"/>
                    <w14:lumOff w14:val="15000"/>
                  </w14:srgbClr>
                </w14:solidFill>
              </w14:textFill>
            </w:rPr>
          </w:pPr>
        </w:p>
      </w:tc>
    </w:tr>
  </w:tbl>
  <w:p w14:paraId="635F8895" w14:textId="1C8C7F98" w:rsidR="00D44116" w:rsidRPr="00847AA0" w:rsidRDefault="00D44116" w:rsidP="00EA1FD5">
    <w:pPr>
      <w:tabs>
        <w:tab w:val="left" w:pos="4508"/>
      </w:tabs>
    </w:pPr>
    <w:r w:rsidRPr="00847AA0">
      <w:tab/>
    </w:r>
  </w:p>
  <w:p w14:paraId="6307A5EE" w14:textId="77777777" w:rsidR="00D44116" w:rsidRPr="00847AA0" w:rsidRDefault="00D44116"/>
  <w:p w14:paraId="37757839" w14:textId="77777777" w:rsidR="00D44116" w:rsidRPr="00847AA0" w:rsidRDefault="00D44116"/>
  <w:p w14:paraId="3091F79A" w14:textId="77777777" w:rsidR="00D44116" w:rsidRPr="00847AA0" w:rsidRDefault="00D44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8A68E" w14:textId="77777777" w:rsidR="00D44116" w:rsidRDefault="00D44116" w:rsidP="00500465">
      <w:r>
        <w:separator/>
      </w:r>
    </w:p>
  </w:footnote>
  <w:footnote w:type="continuationSeparator" w:id="0">
    <w:p w14:paraId="6DD3BCA7" w14:textId="77777777" w:rsidR="00D44116" w:rsidRDefault="00D44116" w:rsidP="00500465">
      <w:r>
        <w:continuationSeparator/>
      </w:r>
    </w:p>
  </w:footnote>
  <w:footnote w:id="1">
    <w:p w14:paraId="25EB70D7" w14:textId="77777777" w:rsidR="00D44116" w:rsidRDefault="00D44116" w:rsidP="009A1C3E">
      <w:pPr>
        <w:pStyle w:val="PadroA"/>
        <w:suppressAutoHyphens/>
        <w:ind w:left="2835"/>
        <w:jc w:val="both"/>
      </w:pPr>
      <w:r>
        <w:rPr>
          <w:rFonts w:ascii="Calibri" w:eastAsia="Calibri" w:hAnsi="Calibri" w:cs="Calibri"/>
          <w:u w:color="0070C0"/>
          <w:vertAlign w:val="superscript"/>
        </w:rPr>
        <w:footnoteRef/>
      </w:r>
      <w:r>
        <w:rPr>
          <w:rFonts w:ascii="Times New Roman" w:hAnsi="Times New Roman"/>
        </w:rPr>
        <w:t xml:space="preserve"> </w:t>
      </w:r>
      <w:r>
        <w:rPr>
          <w:rFonts w:ascii="Calibri" w:eastAsia="Calibri" w:hAnsi="Calibri" w:cs="Calibri"/>
          <w:sz w:val="20"/>
          <w:szCs w:val="20"/>
          <w:u w:color="00B050"/>
        </w:rPr>
        <w:t>Consideramos na categoria “índices” as taxas de evasão, de desistência e reprovação ou retenção (nas disciplinas da área de Matemática).</w:t>
      </w:r>
    </w:p>
  </w:footnote>
  <w:footnote w:id="2">
    <w:p w14:paraId="5FD73E6B" w14:textId="0329D34A" w:rsidR="004F383D" w:rsidRDefault="004F383D" w:rsidP="004F383D">
      <w:pPr>
        <w:pStyle w:val="Textodenotaderodap"/>
        <w:ind w:left="2835" w:firstLine="0"/>
      </w:pPr>
      <w:r>
        <w:rPr>
          <w:rStyle w:val="Refdenotaderodap"/>
        </w:rPr>
        <w:footnoteRef/>
      </w:r>
      <w:r>
        <w:t xml:space="preserve"> Há dois percentuais </w:t>
      </w:r>
      <w:r w:rsidR="003F5D6E">
        <w:t xml:space="preserve">iguais a 16,66% para completar o total de 100%.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4BAB" w14:textId="63E8639D" w:rsidR="00D44116" w:rsidRDefault="00D44116">
    <w:pPr>
      <w:pStyle w:val="Cabealho"/>
    </w:pPr>
    <w:r>
      <w:rPr>
        <w:rFonts w:ascii="Arial" w:hAnsi="Arial" w:cs="Arial"/>
        <w:noProof/>
        <w:sz w:val="12"/>
        <w:szCs w:val="12"/>
        <w:lang w:eastAsia="pt-BR"/>
      </w:rPr>
      <w:drawing>
        <wp:inline distT="0" distB="0" distL="0" distR="0" wp14:anchorId="222BD7AD" wp14:editId="56E0A8F9">
          <wp:extent cx="7200000" cy="721565"/>
          <wp:effectExtent l="0" t="0" r="127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BECT_Template_Cabecalho_.png"/>
                  <pic:cNvPicPr/>
                </pic:nvPicPr>
                <pic:blipFill>
                  <a:blip r:embed="rId1">
                    <a:extLst>
                      <a:ext uri="{28A0092B-C50C-407E-A947-70E740481C1C}">
                        <a14:useLocalDpi xmlns:a14="http://schemas.microsoft.com/office/drawing/2010/main" val="0"/>
                      </a:ext>
                    </a:extLst>
                  </a:blip>
                  <a:stretch>
                    <a:fillRect/>
                  </a:stretch>
                </pic:blipFill>
                <pic:spPr>
                  <a:xfrm>
                    <a:off x="0" y="0"/>
                    <a:ext cx="7200000" cy="721565"/>
                  </a:xfrm>
                  <a:prstGeom prst="rect">
                    <a:avLst/>
                  </a:prstGeom>
                </pic:spPr>
              </pic:pic>
            </a:graphicData>
          </a:graphic>
        </wp:inline>
      </w:drawing>
    </w:r>
    <w:r>
      <w:rPr>
        <w:rFonts w:ascii="Arial" w:hAnsi="Arial" w:cs="Arial"/>
        <w:noProof/>
        <w:sz w:val="12"/>
        <w:szCs w:val="12"/>
        <w:lang w:eastAsia="pt-BR"/>
      </w:rPr>
      <w:drawing>
        <wp:inline distT="0" distB="0" distL="0" distR="0" wp14:anchorId="40006646" wp14:editId="0F0D05E2">
          <wp:extent cx="7200000" cy="24138"/>
          <wp:effectExtent l="0" t="0" r="127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ecSoc_Template_Rodape_.jpg"/>
                  <pic:cNvPicPr/>
                </pic:nvPicPr>
                <pic:blipFill>
                  <a:blip r:embed="rId2">
                    <a:extLst>
                      <a:ext uri="{28A0092B-C50C-407E-A947-70E740481C1C}">
                        <a14:useLocalDpi xmlns:a14="http://schemas.microsoft.com/office/drawing/2010/main" val="0"/>
                      </a:ext>
                    </a:extLst>
                  </a:blip>
                  <a:stretch>
                    <a:fillRect/>
                  </a:stretch>
                </pic:blipFill>
                <pic:spPr>
                  <a:xfrm>
                    <a:off x="0" y="0"/>
                    <a:ext cx="7200000" cy="24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3AA2" w14:textId="0BBF59A2" w:rsidR="00D44116" w:rsidRDefault="00A427F5">
    <w:pPr>
      <w:pStyle w:val="Cabealho"/>
    </w:pPr>
    <w:sdt>
      <w:sdtPr>
        <w:id w:val="1024442057"/>
        <w:docPartObj>
          <w:docPartGallery w:val="Page Numbers (Margins)"/>
          <w:docPartUnique/>
        </w:docPartObj>
      </w:sdtPr>
      <w:sdtEndPr/>
      <w:sdtContent>
        <w:r w:rsidR="00D44116">
          <w:rPr>
            <w:noProof/>
            <w:lang w:eastAsia="pt-BR"/>
          </w:rPr>
          <w:drawing>
            <wp:inline distT="0" distB="0" distL="0" distR="0" wp14:anchorId="46DE4BF5" wp14:editId="300E7F29">
              <wp:extent cx="7156450" cy="1515491"/>
              <wp:effectExtent l="0" t="0" r="635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BECT_Template_Cabecalho.png"/>
                      <pic:cNvPicPr/>
                    </pic:nvPicPr>
                    <pic:blipFill>
                      <a:blip r:embed="rId1">
                        <a:extLst>
                          <a:ext uri="{28A0092B-C50C-407E-A947-70E740481C1C}">
                            <a14:useLocalDpi xmlns:a14="http://schemas.microsoft.com/office/drawing/2010/main" val="0"/>
                          </a:ext>
                        </a:extLst>
                      </a:blip>
                      <a:stretch>
                        <a:fillRect/>
                      </a:stretch>
                    </pic:blipFill>
                    <pic:spPr>
                      <a:xfrm>
                        <a:off x="0" y="0"/>
                        <a:ext cx="7196405" cy="1523952"/>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74C3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5E42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96D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EA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C3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E9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CB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30C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9" w15:restartNumberingAfterBreak="0">
    <w:nsid w:val="FFFFFF89"/>
    <w:multiLevelType w:val="singleLevel"/>
    <w:tmpl w:val="C4C07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E091E"/>
    <w:multiLevelType w:val="hybridMultilevel"/>
    <w:tmpl w:val="E99452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9F77AD1"/>
    <w:multiLevelType w:val="hybridMultilevel"/>
    <w:tmpl w:val="D778B7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412B43"/>
    <w:multiLevelType w:val="hybridMultilevel"/>
    <w:tmpl w:val="83D871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C53064"/>
    <w:multiLevelType w:val="hybridMultilevel"/>
    <w:tmpl w:val="062E5B88"/>
    <w:lvl w:ilvl="0" w:tplc="D8D62348">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4" w15:restartNumberingAfterBreak="0">
    <w:nsid w:val="3A2D21B3"/>
    <w:multiLevelType w:val="hybridMultilevel"/>
    <w:tmpl w:val="F27076B4"/>
    <w:numStyleLink w:val="EstiloImportado3"/>
  </w:abstractNum>
  <w:abstractNum w:abstractNumId="15" w15:restartNumberingAfterBreak="0">
    <w:nsid w:val="3C293A4E"/>
    <w:multiLevelType w:val="hybridMultilevel"/>
    <w:tmpl w:val="F11A1DCA"/>
    <w:lvl w:ilvl="0" w:tplc="04160017">
      <w:start w:val="1"/>
      <w:numFmt w:val="lowerLetter"/>
      <w:lvlText w:val="%1)"/>
      <w:lvlJc w:val="left"/>
      <w:pPr>
        <w:ind w:left="3952" w:hanging="360"/>
      </w:pPr>
    </w:lvl>
    <w:lvl w:ilvl="1" w:tplc="04160019" w:tentative="1">
      <w:start w:val="1"/>
      <w:numFmt w:val="lowerLetter"/>
      <w:lvlText w:val="%2."/>
      <w:lvlJc w:val="left"/>
      <w:pPr>
        <w:ind w:left="4672" w:hanging="360"/>
      </w:pPr>
    </w:lvl>
    <w:lvl w:ilvl="2" w:tplc="0416001B" w:tentative="1">
      <w:start w:val="1"/>
      <w:numFmt w:val="lowerRoman"/>
      <w:lvlText w:val="%3."/>
      <w:lvlJc w:val="right"/>
      <w:pPr>
        <w:ind w:left="5392" w:hanging="180"/>
      </w:pPr>
    </w:lvl>
    <w:lvl w:ilvl="3" w:tplc="0416000F" w:tentative="1">
      <w:start w:val="1"/>
      <w:numFmt w:val="decimal"/>
      <w:lvlText w:val="%4."/>
      <w:lvlJc w:val="left"/>
      <w:pPr>
        <w:ind w:left="6112" w:hanging="360"/>
      </w:pPr>
    </w:lvl>
    <w:lvl w:ilvl="4" w:tplc="04160019" w:tentative="1">
      <w:start w:val="1"/>
      <w:numFmt w:val="lowerLetter"/>
      <w:lvlText w:val="%5."/>
      <w:lvlJc w:val="left"/>
      <w:pPr>
        <w:ind w:left="6832" w:hanging="360"/>
      </w:pPr>
    </w:lvl>
    <w:lvl w:ilvl="5" w:tplc="0416001B" w:tentative="1">
      <w:start w:val="1"/>
      <w:numFmt w:val="lowerRoman"/>
      <w:lvlText w:val="%6."/>
      <w:lvlJc w:val="right"/>
      <w:pPr>
        <w:ind w:left="7552" w:hanging="180"/>
      </w:pPr>
    </w:lvl>
    <w:lvl w:ilvl="6" w:tplc="0416000F" w:tentative="1">
      <w:start w:val="1"/>
      <w:numFmt w:val="decimal"/>
      <w:lvlText w:val="%7."/>
      <w:lvlJc w:val="left"/>
      <w:pPr>
        <w:ind w:left="8272" w:hanging="360"/>
      </w:pPr>
    </w:lvl>
    <w:lvl w:ilvl="7" w:tplc="04160019" w:tentative="1">
      <w:start w:val="1"/>
      <w:numFmt w:val="lowerLetter"/>
      <w:lvlText w:val="%8."/>
      <w:lvlJc w:val="left"/>
      <w:pPr>
        <w:ind w:left="8992" w:hanging="360"/>
      </w:pPr>
    </w:lvl>
    <w:lvl w:ilvl="8" w:tplc="0416001B" w:tentative="1">
      <w:start w:val="1"/>
      <w:numFmt w:val="lowerRoman"/>
      <w:lvlText w:val="%9."/>
      <w:lvlJc w:val="right"/>
      <w:pPr>
        <w:ind w:left="9712" w:hanging="180"/>
      </w:pPr>
    </w:lvl>
  </w:abstractNum>
  <w:abstractNum w:abstractNumId="16" w15:restartNumberingAfterBreak="0">
    <w:nsid w:val="3DA63842"/>
    <w:multiLevelType w:val="hybridMultilevel"/>
    <w:tmpl w:val="052CAC38"/>
    <w:lvl w:ilvl="0" w:tplc="D7B8426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62C4F3C"/>
    <w:multiLevelType w:val="hybridMultilevel"/>
    <w:tmpl w:val="F27076B4"/>
    <w:styleLink w:val="EstiloImportado3"/>
    <w:lvl w:ilvl="0" w:tplc="45DC8CE0">
      <w:start w:val="1"/>
      <w:numFmt w:val="upperRoman"/>
      <w:lvlText w:val="%1."/>
      <w:lvlJc w:val="left"/>
      <w:pPr>
        <w:tabs>
          <w:tab w:val="num" w:pos="3540"/>
        </w:tabs>
        <w:ind w:left="2835" w:firstLine="3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79C6A08">
      <w:start w:val="1"/>
      <w:numFmt w:val="lowerLetter"/>
      <w:lvlText w:val="%2."/>
      <w:lvlJc w:val="left"/>
      <w:pPr>
        <w:tabs>
          <w:tab w:val="num" w:pos="4265"/>
        </w:tabs>
        <w:ind w:left="3560" w:firstLine="52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A45B3C">
      <w:start w:val="1"/>
      <w:numFmt w:val="lowerRoman"/>
      <w:suff w:val="nothing"/>
      <w:lvlText w:val="%3."/>
      <w:lvlJc w:val="left"/>
      <w:pPr>
        <w:ind w:left="4280" w:firstLine="6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64EFECE">
      <w:start w:val="1"/>
      <w:numFmt w:val="decimal"/>
      <w:lvlText w:val="%4."/>
      <w:lvlJc w:val="left"/>
      <w:pPr>
        <w:tabs>
          <w:tab w:val="num" w:pos="5705"/>
        </w:tabs>
        <w:ind w:left="5000" w:firstLine="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DFABB20">
      <w:start w:val="1"/>
      <w:numFmt w:val="lowerLetter"/>
      <w:lvlText w:val="%5."/>
      <w:lvlJc w:val="left"/>
      <w:pPr>
        <w:tabs>
          <w:tab w:val="num" w:pos="6425"/>
        </w:tabs>
        <w:ind w:left="5720" w:firstLine="5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560DF48">
      <w:start w:val="1"/>
      <w:numFmt w:val="lowerRoman"/>
      <w:lvlText w:val="%6."/>
      <w:lvlJc w:val="left"/>
      <w:pPr>
        <w:tabs>
          <w:tab w:val="num" w:pos="7145"/>
        </w:tabs>
        <w:ind w:left="6440" w:hanging="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D00668A">
      <w:start w:val="1"/>
      <w:numFmt w:val="decimal"/>
      <w:lvlText w:val="%7."/>
      <w:lvlJc w:val="left"/>
      <w:pPr>
        <w:tabs>
          <w:tab w:val="num" w:pos="7865"/>
        </w:tabs>
        <w:ind w:left="7160" w:firstLine="5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464149C">
      <w:start w:val="1"/>
      <w:numFmt w:val="lowerLetter"/>
      <w:lvlText w:val="%8."/>
      <w:lvlJc w:val="left"/>
      <w:pPr>
        <w:tabs>
          <w:tab w:val="num" w:pos="8585"/>
        </w:tabs>
        <w:ind w:left="7880" w:firstLine="5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4EA7D06">
      <w:start w:val="1"/>
      <w:numFmt w:val="lowerRoman"/>
      <w:lvlText w:val="%9."/>
      <w:lvlJc w:val="left"/>
      <w:pPr>
        <w:tabs>
          <w:tab w:val="num" w:pos="9305"/>
        </w:tabs>
        <w:ind w:left="8600" w:hanging="3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9B5446F"/>
    <w:multiLevelType w:val="hybridMultilevel"/>
    <w:tmpl w:val="9DF2B5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614B1A"/>
    <w:multiLevelType w:val="hybridMultilevel"/>
    <w:tmpl w:val="CB04E322"/>
    <w:lvl w:ilvl="0" w:tplc="0416000F">
      <w:start w:val="1"/>
      <w:numFmt w:val="decimal"/>
      <w:lvlText w:val="%1."/>
      <w:lvlJc w:val="left"/>
      <w:pPr>
        <w:ind w:left="3952" w:hanging="360"/>
      </w:pPr>
    </w:lvl>
    <w:lvl w:ilvl="1" w:tplc="04160019" w:tentative="1">
      <w:start w:val="1"/>
      <w:numFmt w:val="lowerLetter"/>
      <w:lvlText w:val="%2."/>
      <w:lvlJc w:val="left"/>
      <w:pPr>
        <w:ind w:left="4672" w:hanging="360"/>
      </w:pPr>
    </w:lvl>
    <w:lvl w:ilvl="2" w:tplc="0416001B" w:tentative="1">
      <w:start w:val="1"/>
      <w:numFmt w:val="lowerRoman"/>
      <w:lvlText w:val="%3."/>
      <w:lvlJc w:val="right"/>
      <w:pPr>
        <w:ind w:left="5392" w:hanging="180"/>
      </w:pPr>
    </w:lvl>
    <w:lvl w:ilvl="3" w:tplc="0416000F" w:tentative="1">
      <w:start w:val="1"/>
      <w:numFmt w:val="decimal"/>
      <w:lvlText w:val="%4."/>
      <w:lvlJc w:val="left"/>
      <w:pPr>
        <w:ind w:left="6112" w:hanging="360"/>
      </w:pPr>
    </w:lvl>
    <w:lvl w:ilvl="4" w:tplc="04160019" w:tentative="1">
      <w:start w:val="1"/>
      <w:numFmt w:val="lowerLetter"/>
      <w:lvlText w:val="%5."/>
      <w:lvlJc w:val="left"/>
      <w:pPr>
        <w:ind w:left="6832" w:hanging="360"/>
      </w:pPr>
    </w:lvl>
    <w:lvl w:ilvl="5" w:tplc="0416001B" w:tentative="1">
      <w:start w:val="1"/>
      <w:numFmt w:val="lowerRoman"/>
      <w:lvlText w:val="%6."/>
      <w:lvlJc w:val="right"/>
      <w:pPr>
        <w:ind w:left="7552" w:hanging="180"/>
      </w:pPr>
    </w:lvl>
    <w:lvl w:ilvl="6" w:tplc="0416000F" w:tentative="1">
      <w:start w:val="1"/>
      <w:numFmt w:val="decimal"/>
      <w:lvlText w:val="%7."/>
      <w:lvlJc w:val="left"/>
      <w:pPr>
        <w:ind w:left="8272" w:hanging="360"/>
      </w:pPr>
    </w:lvl>
    <w:lvl w:ilvl="7" w:tplc="04160019" w:tentative="1">
      <w:start w:val="1"/>
      <w:numFmt w:val="lowerLetter"/>
      <w:lvlText w:val="%8."/>
      <w:lvlJc w:val="left"/>
      <w:pPr>
        <w:ind w:left="8992" w:hanging="360"/>
      </w:pPr>
    </w:lvl>
    <w:lvl w:ilvl="8" w:tplc="0416001B" w:tentative="1">
      <w:start w:val="1"/>
      <w:numFmt w:val="lowerRoman"/>
      <w:lvlText w:val="%9."/>
      <w:lvlJc w:val="right"/>
      <w:pPr>
        <w:ind w:left="9712" w:hanging="180"/>
      </w:pPr>
    </w:lvl>
  </w:abstractNum>
  <w:abstractNum w:abstractNumId="20" w15:restartNumberingAfterBreak="0">
    <w:nsid w:val="7A8B7FC6"/>
    <w:multiLevelType w:val="hybridMultilevel"/>
    <w:tmpl w:val="052CAC38"/>
    <w:lvl w:ilvl="0" w:tplc="D7B8426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FB63E91"/>
    <w:multiLevelType w:val="hybridMultilevel"/>
    <w:tmpl w:val="8AC2B81E"/>
    <w:lvl w:ilvl="0" w:tplc="98D0CC56">
      <w:start w:val="1"/>
      <w:numFmt w:val="lowerLetter"/>
      <w:lvlText w:val="(%1)"/>
      <w:lvlJc w:val="left"/>
      <w:pPr>
        <w:ind w:left="405" w:hanging="360"/>
      </w:pPr>
      <w:rPr>
        <w:rFonts w:hint="default"/>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2" w15:restartNumberingAfterBreak="0">
    <w:nsid w:val="7FD602AC"/>
    <w:multiLevelType w:val="hybridMultilevel"/>
    <w:tmpl w:val="6526DB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2"/>
  </w:num>
  <w:num w:numId="14">
    <w:abstractNumId w:val="10"/>
  </w:num>
  <w:num w:numId="15">
    <w:abstractNumId w:val="12"/>
  </w:num>
  <w:num w:numId="16">
    <w:abstractNumId w:val="18"/>
  </w:num>
  <w:num w:numId="17">
    <w:abstractNumId w:val="21"/>
  </w:num>
  <w:num w:numId="18">
    <w:abstractNumId w:val="20"/>
  </w:num>
  <w:num w:numId="19">
    <w:abstractNumId w:val="16"/>
  </w:num>
  <w:num w:numId="20">
    <w:abstractNumId w:val="19"/>
  </w:num>
  <w:num w:numId="21">
    <w:abstractNumId w:val="15"/>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567"/>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D9"/>
    <w:rsid w:val="00000EDB"/>
    <w:rsid w:val="00001964"/>
    <w:rsid w:val="000030A6"/>
    <w:rsid w:val="00003711"/>
    <w:rsid w:val="00015416"/>
    <w:rsid w:val="00023235"/>
    <w:rsid w:val="000235C1"/>
    <w:rsid w:val="00024AD7"/>
    <w:rsid w:val="00025996"/>
    <w:rsid w:val="00025D2D"/>
    <w:rsid w:val="00032612"/>
    <w:rsid w:val="00034C51"/>
    <w:rsid w:val="00034E12"/>
    <w:rsid w:val="00043040"/>
    <w:rsid w:val="00043E3B"/>
    <w:rsid w:val="00046474"/>
    <w:rsid w:val="000522C1"/>
    <w:rsid w:val="00052497"/>
    <w:rsid w:val="0006570C"/>
    <w:rsid w:val="00065873"/>
    <w:rsid w:val="00066183"/>
    <w:rsid w:val="00067380"/>
    <w:rsid w:val="0007145B"/>
    <w:rsid w:val="00080E73"/>
    <w:rsid w:val="00083F01"/>
    <w:rsid w:val="00087408"/>
    <w:rsid w:val="000A50BC"/>
    <w:rsid w:val="000B5D4D"/>
    <w:rsid w:val="000D0EA7"/>
    <w:rsid w:val="000D229C"/>
    <w:rsid w:val="000D2CB6"/>
    <w:rsid w:val="000D52FB"/>
    <w:rsid w:val="000D57D9"/>
    <w:rsid w:val="000D6AF8"/>
    <w:rsid w:val="000D745B"/>
    <w:rsid w:val="000E0AA6"/>
    <w:rsid w:val="000F0795"/>
    <w:rsid w:val="00102104"/>
    <w:rsid w:val="00103840"/>
    <w:rsid w:val="00104318"/>
    <w:rsid w:val="00111BA2"/>
    <w:rsid w:val="00115462"/>
    <w:rsid w:val="001166FA"/>
    <w:rsid w:val="00121859"/>
    <w:rsid w:val="0012526E"/>
    <w:rsid w:val="001315F9"/>
    <w:rsid w:val="001320EE"/>
    <w:rsid w:val="00137BE4"/>
    <w:rsid w:val="00143C47"/>
    <w:rsid w:val="00153E68"/>
    <w:rsid w:val="001546EB"/>
    <w:rsid w:val="00163968"/>
    <w:rsid w:val="00163FA7"/>
    <w:rsid w:val="00166FCA"/>
    <w:rsid w:val="00167DB4"/>
    <w:rsid w:val="00170783"/>
    <w:rsid w:val="001716DA"/>
    <w:rsid w:val="001746AC"/>
    <w:rsid w:val="00181A2F"/>
    <w:rsid w:val="00183648"/>
    <w:rsid w:val="00194464"/>
    <w:rsid w:val="00194C5F"/>
    <w:rsid w:val="001A7A3F"/>
    <w:rsid w:val="001B423A"/>
    <w:rsid w:val="001C14E7"/>
    <w:rsid w:val="001C3761"/>
    <w:rsid w:val="001D4787"/>
    <w:rsid w:val="001E230A"/>
    <w:rsid w:val="001E6EEC"/>
    <w:rsid w:val="001F3265"/>
    <w:rsid w:val="0020047D"/>
    <w:rsid w:val="00212A40"/>
    <w:rsid w:val="00212B49"/>
    <w:rsid w:val="0022549A"/>
    <w:rsid w:val="00227790"/>
    <w:rsid w:val="00232351"/>
    <w:rsid w:val="00236375"/>
    <w:rsid w:val="00245306"/>
    <w:rsid w:val="00251889"/>
    <w:rsid w:val="0025446C"/>
    <w:rsid w:val="00256CC5"/>
    <w:rsid w:val="002718C9"/>
    <w:rsid w:val="00271F41"/>
    <w:rsid w:val="002728D6"/>
    <w:rsid w:val="00273998"/>
    <w:rsid w:val="0027421A"/>
    <w:rsid w:val="00274814"/>
    <w:rsid w:val="00277DE6"/>
    <w:rsid w:val="0028266C"/>
    <w:rsid w:val="002864F7"/>
    <w:rsid w:val="00286B77"/>
    <w:rsid w:val="00286E60"/>
    <w:rsid w:val="00294A22"/>
    <w:rsid w:val="002A20AD"/>
    <w:rsid w:val="002B33E4"/>
    <w:rsid w:val="002B3516"/>
    <w:rsid w:val="002B7731"/>
    <w:rsid w:val="002C456B"/>
    <w:rsid w:val="002C6AEC"/>
    <w:rsid w:val="002D3BB9"/>
    <w:rsid w:val="002D6DEF"/>
    <w:rsid w:val="002E3356"/>
    <w:rsid w:val="002F08D9"/>
    <w:rsid w:val="002F393F"/>
    <w:rsid w:val="002F4217"/>
    <w:rsid w:val="00300EE7"/>
    <w:rsid w:val="00310423"/>
    <w:rsid w:val="0031159D"/>
    <w:rsid w:val="00311BDA"/>
    <w:rsid w:val="00315171"/>
    <w:rsid w:val="003201AE"/>
    <w:rsid w:val="00332A35"/>
    <w:rsid w:val="00333BD2"/>
    <w:rsid w:val="00334F01"/>
    <w:rsid w:val="003354A5"/>
    <w:rsid w:val="00342755"/>
    <w:rsid w:val="003450B0"/>
    <w:rsid w:val="00345A19"/>
    <w:rsid w:val="00350214"/>
    <w:rsid w:val="0035407A"/>
    <w:rsid w:val="00361D54"/>
    <w:rsid w:val="0036434E"/>
    <w:rsid w:val="003760A3"/>
    <w:rsid w:val="003768A6"/>
    <w:rsid w:val="0038104F"/>
    <w:rsid w:val="00381758"/>
    <w:rsid w:val="00383E3D"/>
    <w:rsid w:val="00386D23"/>
    <w:rsid w:val="00390306"/>
    <w:rsid w:val="0039075A"/>
    <w:rsid w:val="003B487E"/>
    <w:rsid w:val="003B63DF"/>
    <w:rsid w:val="003C04F0"/>
    <w:rsid w:val="003C24F1"/>
    <w:rsid w:val="003C2A6D"/>
    <w:rsid w:val="003D404E"/>
    <w:rsid w:val="003E321F"/>
    <w:rsid w:val="003E700C"/>
    <w:rsid w:val="003E7B38"/>
    <w:rsid w:val="003F224B"/>
    <w:rsid w:val="003F26DA"/>
    <w:rsid w:val="003F2D38"/>
    <w:rsid w:val="003F5D6E"/>
    <w:rsid w:val="00402585"/>
    <w:rsid w:val="0040623E"/>
    <w:rsid w:val="0041624C"/>
    <w:rsid w:val="004239BC"/>
    <w:rsid w:val="00427B0C"/>
    <w:rsid w:val="00437E67"/>
    <w:rsid w:val="0044180A"/>
    <w:rsid w:val="0044180C"/>
    <w:rsid w:val="004449AC"/>
    <w:rsid w:val="0045015D"/>
    <w:rsid w:val="00452F24"/>
    <w:rsid w:val="00461D64"/>
    <w:rsid w:val="004742C1"/>
    <w:rsid w:val="00474C50"/>
    <w:rsid w:val="00475AF0"/>
    <w:rsid w:val="004779B2"/>
    <w:rsid w:val="00484759"/>
    <w:rsid w:val="004A5DB1"/>
    <w:rsid w:val="004C3FA2"/>
    <w:rsid w:val="004C4C32"/>
    <w:rsid w:val="004C4F00"/>
    <w:rsid w:val="004D211C"/>
    <w:rsid w:val="004D2874"/>
    <w:rsid w:val="004E4444"/>
    <w:rsid w:val="004E4BE5"/>
    <w:rsid w:val="004F33E2"/>
    <w:rsid w:val="004F383D"/>
    <w:rsid w:val="004F56C2"/>
    <w:rsid w:val="00500465"/>
    <w:rsid w:val="00500E2F"/>
    <w:rsid w:val="00501055"/>
    <w:rsid w:val="0050386A"/>
    <w:rsid w:val="00511886"/>
    <w:rsid w:val="005143D5"/>
    <w:rsid w:val="00520706"/>
    <w:rsid w:val="005219F9"/>
    <w:rsid w:val="00522362"/>
    <w:rsid w:val="00531AB3"/>
    <w:rsid w:val="00535DA3"/>
    <w:rsid w:val="00540CD8"/>
    <w:rsid w:val="0055175A"/>
    <w:rsid w:val="00552147"/>
    <w:rsid w:val="00552E99"/>
    <w:rsid w:val="005569A3"/>
    <w:rsid w:val="005578F6"/>
    <w:rsid w:val="0056078E"/>
    <w:rsid w:val="00561166"/>
    <w:rsid w:val="005659D4"/>
    <w:rsid w:val="00566409"/>
    <w:rsid w:val="0056759A"/>
    <w:rsid w:val="00572DA7"/>
    <w:rsid w:val="00577BC5"/>
    <w:rsid w:val="005837B5"/>
    <w:rsid w:val="005845D7"/>
    <w:rsid w:val="00590683"/>
    <w:rsid w:val="00591618"/>
    <w:rsid w:val="0059436E"/>
    <w:rsid w:val="00594938"/>
    <w:rsid w:val="005A06FE"/>
    <w:rsid w:val="005A2671"/>
    <w:rsid w:val="005A374E"/>
    <w:rsid w:val="005A436E"/>
    <w:rsid w:val="005A6062"/>
    <w:rsid w:val="005B1D4E"/>
    <w:rsid w:val="005B7559"/>
    <w:rsid w:val="005D25C9"/>
    <w:rsid w:val="005D7F57"/>
    <w:rsid w:val="005F18A9"/>
    <w:rsid w:val="005F2EDB"/>
    <w:rsid w:val="005F3209"/>
    <w:rsid w:val="005F4A3D"/>
    <w:rsid w:val="005F6F05"/>
    <w:rsid w:val="00600163"/>
    <w:rsid w:val="00601608"/>
    <w:rsid w:val="006017EC"/>
    <w:rsid w:val="0060274F"/>
    <w:rsid w:val="00610A9C"/>
    <w:rsid w:val="00622B44"/>
    <w:rsid w:val="00623E3E"/>
    <w:rsid w:val="006411E2"/>
    <w:rsid w:val="00651E3E"/>
    <w:rsid w:val="00653448"/>
    <w:rsid w:val="00663A24"/>
    <w:rsid w:val="0067462E"/>
    <w:rsid w:val="006758AE"/>
    <w:rsid w:val="00680758"/>
    <w:rsid w:val="00692AC7"/>
    <w:rsid w:val="006932AF"/>
    <w:rsid w:val="00693637"/>
    <w:rsid w:val="00696AD5"/>
    <w:rsid w:val="006A1D12"/>
    <w:rsid w:val="006A2C72"/>
    <w:rsid w:val="006A444A"/>
    <w:rsid w:val="006A576B"/>
    <w:rsid w:val="006B252D"/>
    <w:rsid w:val="006B766D"/>
    <w:rsid w:val="006C0866"/>
    <w:rsid w:val="006D0650"/>
    <w:rsid w:val="006D3A93"/>
    <w:rsid w:val="006F0738"/>
    <w:rsid w:val="006F4A09"/>
    <w:rsid w:val="006F5509"/>
    <w:rsid w:val="00704878"/>
    <w:rsid w:val="00706030"/>
    <w:rsid w:val="0071147C"/>
    <w:rsid w:val="007229C7"/>
    <w:rsid w:val="00723B74"/>
    <w:rsid w:val="00737235"/>
    <w:rsid w:val="007501DD"/>
    <w:rsid w:val="00752113"/>
    <w:rsid w:val="007544E7"/>
    <w:rsid w:val="00754711"/>
    <w:rsid w:val="00755A7B"/>
    <w:rsid w:val="007579F2"/>
    <w:rsid w:val="00764BE9"/>
    <w:rsid w:val="00765A7C"/>
    <w:rsid w:val="00772FA6"/>
    <w:rsid w:val="007760E0"/>
    <w:rsid w:val="00785623"/>
    <w:rsid w:val="00786968"/>
    <w:rsid w:val="00787474"/>
    <w:rsid w:val="00793268"/>
    <w:rsid w:val="007936B3"/>
    <w:rsid w:val="007A739A"/>
    <w:rsid w:val="007A7512"/>
    <w:rsid w:val="007B358D"/>
    <w:rsid w:val="007B5378"/>
    <w:rsid w:val="007C2AFC"/>
    <w:rsid w:val="007C3633"/>
    <w:rsid w:val="007C7DFD"/>
    <w:rsid w:val="007D141B"/>
    <w:rsid w:val="007D1B58"/>
    <w:rsid w:val="007D42B4"/>
    <w:rsid w:val="007D6021"/>
    <w:rsid w:val="007F4B42"/>
    <w:rsid w:val="007F7854"/>
    <w:rsid w:val="008020FC"/>
    <w:rsid w:val="0080263E"/>
    <w:rsid w:val="00803C33"/>
    <w:rsid w:val="00807CD6"/>
    <w:rsid w:val="00812BFC"/>
    <w:rsid w:val="0081357D"/>
    <w:rsid w:val="008248AB"/>
    <w:rsid w:val="00824CA1"/>
    <w:rsid w:val="00826165"/>
    <w:rsid w:val="008267E6"/>
    <w:rsid w:val="008435D9"/>
    <w:rsid w:val="00843874"/>
    <w:rsid w:val="00847AA0"/>
    <w:rsid w:val="00850236"/>
    <w:rsid w:val="00855728"/>
    <w:rsid w:val="00856E8F"/>
    <w:rsid w:val="00863138"/>
    <w:rsid w:val="0086421E"/>
    <w:rsid w:val="008656C5"/>
    <w:rsid w:val="00873436"/>
    <w:rsid w:val="008751D4"/>
    <w:rsid w:val="00875860"/>
    <w:rsid w:val="008816EF"/>
    <w:rsid w:val="00885D31"/>
    <w:rsid w:val="00887047"/>
    <w:rsid w:val="00887C86"/>
    <w:rsid w:val="00891F77"/>
    <w:rsid w:val="008971AC"/>
    <w:rsid w:val="008B02D6"/>
    <w:rsid w:val="008C0B42"/>
    <w:rsid w:val="008D01BD"/>
    <w:rsid w:val="008E0CA9"/>
    <w:rsid w:val="008E2454"/>
    <w:rsid w:val="008E60C7"/>
    <w:rsid w:val="008F001D"/>
    <w:rsid w:val="008F30EC"/>
    <w:rsid w:val="008F4A23"/>
    <w:rsid w:val="00913DDA"/>
    <w:rsid w:val="00914FA6"/>
    <w:rsid w:val="0092380F"/>
    <w:rsid w:val="009313C3"/>
    <w:rsid w:val="00935DE6"/>
    <w:rsid w:val="00943240"/>
    <w:rsid w:val="00943F4C"/>
    <w:rsid w:val="0094586E"/>
    <w:rsid w:val="00947F11"/>
    <w:rsid w:val="009537BD"/>
    <w:rsid w:val="00962479"/>
    <w:rsid w:val="00970548"/>
    <w:rsid w:val="00970C6B"/>
    <w:rsid w:val="00971DE0"/>
    <w:rsid w:val="0097336B"/>
    <w:rsid w:val="009750C2"/>
    <w:rsid w:val="00981551"/>
    <w:rsid w:val="00984EDF"/>
    <w:rsid w:val="009A1AAF"/>
    <w:rsid w:val="009A1C3E"/>
    <w:rsid w:val="009A31F3"/>
    <w:rsid w:val="009A418F"/>
    <w:rsid w:val="009B167F"/>
    <w:rsid w:val="009B3576"/>
    <w:rsid w:val="009B5FEC"/>
    <w:rsid w:val="009C080A"/>
    <w:rsid w:val="009C14A3"/>
    <w:rsid w:val="009C2A96"/>
    <w:rsid w:val="009D0F72"/>
    <w:rsid w:val="009D4054"/>
    <w:rsid w:val="009D6CC7"/>
    <w:rsid w:val="009D6CF4"/>
    <w:rsid w:val="009D7E81"/>
    <w:rsid w:val="009E23F3"/>
    <w:rsid w:val="009E4789"/>
    <w:rsid w:val="009E63D6"/>
    <w:rsid w:val="009F36BB"/>
    <w:rsid w:val="009F4371"/>
    <w:rsid w:val="009F75EF"/>
    <w:rsid w:val="00A0589B"/>
    <w:rsid w:val="00A427F5"/>
    <w:rsid w:val="00A428E7"/>
    <w:rsid w:val="00A455D6"/>
    <w:rsid w:val="00A50418"/>
    <w:rsid w:val="00A518D6"/>
    <w:rsid w:val="00A5285B"/>
    <w:rsid w:val="00A605CB"/>
    <w:rsid w:val="00A61EC2"/>
    <w:rsid w:val="00A672C5"/>
    <w:rsid w:val="00A679EA"/>
    <w:rsid w:val="00A7027D"/>
    <w:rsid w:val="00A70CB4"/>
    <w:rsid w:val="00A7103A"/>
    <w:rsid w:val="00A76016"/>
    <w:rsid w:val="00A77C0E"/>
    <w:rsid w:val="00A80C6E"/>
    <w:rsid w:val="00A91431"/>
    <w:rsid w:val="00A97345"/>
    <w:rsid w:val="00AA09F3"/>
    <w:rsid w:val="00AB2336"/>
    <w:rsid w:val="00AB33CE"/>
    <w:rsid w:val="00AC1EC9"/>
    <w:rsid w:val="00AC32DC"/>
    <w:rsid w:val="00AC4CA4"/>
    <w:rsid w:val="00AC7016"/>
    <w:rsid w:val="00AD201B"/>
    <w:rsid w:val="00AD5E3C"/>
    <w:rsid w:val="00AE7A8E"/>
    <w:rsid w:val="00AF2808"/>
    <w:rsid w:val="00AF618F"/>
    <w:rsid w:val="00AF6F78"/>
    <w:rsid w:val="00B258F3"/>
    <w:rsid w:val="00B333AB"/>
    <w:rsid w:val="00B41BB2"/>
    <w:rsid w:val="00B44054"/>
    <w:rsid w:val="00B455FF"/>
    <w:rsid w:val="00B544C5"/>
    <w:rsid w:val="00B567FA"/>
    <w:rsid w:val="00B568B4"/>
    <w:rsid w:val="00B6187A"/>
    <w:rsid w:val="00B65640"/>
    <w:rsid w:val="00B85B96"/>
    <w:rsid w:val="00B85F76"/>
    <w:rsid w:val="00B8664F"/>
    <w:rsid w:val="00B965C8"/>
    <w:rsid w:val="00BA004A"/>
    <w:rsid w:val="00BA6514"/>
    <w:rsid w:val="00BC4299"/>
    <w:rsid w:val="00BC6A11"/>
    <w:rsid w:val="00BD0FC8"/>
    <w:rsid w:val="00BD131F"/>
    <w:rsid w:val="00BD2D75"/>
    <w:rsid w:val="00BE245E"/>
    <w:rsid w:val="00BE7743"/>
    <w:rsid w:val="00BF3672"/>
    <w:rsid w:val="00C1080A"/>
    <w:rsid w:val="00C14493"/>
    <w:rsid w:val="00C14FA1"/>
    <w:rsid w:val="00C2025B"/>
    <w:rsid w:val="00C21095"/>
    <w:rsid w:val="00C22634"/>
    <w:rsid w:val="00C226D7"/>
    <w:rsid w:val="00C22F95"/>
    <w:rsid w:val="00C34BB8"/>
    <w:rsid w:val="00C36F11"/>
    <w:rsid w:val="00C5145E"/>
    <w:rsid w:val="00C57758"/>
    <w:rsid w:val="00C637AE"/>
    <w:rsid w:val="00C66458"/>
    <w:rsid w:val="00C6724F"/>
    <w:rsid w:val="00C70ECA"/>
    <w:rsid w:val="00C711E8"/>
    <w:rsid w:val="00C82223"/>
    <w:rsid w:val="00C8265A"/>
    <w:rsid w:val="00C82C92"/>
    <w:rsid w:val="00C95F06"/>
    <w:rsid w:val="00C96C31"/>
    <w:rsid w:val="00CA2A80"/>
    <w:rsid w:val="00CA61AC"/>
    <w:rsid w:val="00CA6B6F"/>
    <w:rsid w:val="00CA7812"/>
    <w:rsid w:val="00CB61DD"/>
    <w:rsid w:val="00CC21CA"/>
    <w:rsid w:val="00CC3A6B"/>
    <w:rsid w:val="00CD00C5"/>
    <w:rsid w:val="00CE4045"/>
    <w:rsid w:val="00CE79FC"/>
    <w:rsid w:val="00CF1A75"/>
    <w:rsid w:val="00CF1EB5"/>
    <w:rsid w:val="00CF3932"/>
    <w:rsid w:val="00D117F0"/>
    <w:rsid w:val="00D31BAB"/>
    <w:rsid w:val="00D32637"/>
    <w:rsid w:val="00D34241"/>
    <w:rsid w:val="00D360C8"/>
    <w:rsid w:val="00D3707E"/>
    <w:rsid w:val="00D44116"/>
    <w:rsid w:val="00D50AC3"/>
    <w:rsid w:val="00D53AD3"/>
    <w:rsid w:val="00D608E6"/>
    <w:rsid w:val="00D6208D"/>
    <w:rsid w:val="00D66222"/>
    <w:rsid w:val="00D86E82"/>
    <w:rsid w:val="00D97BEA"/>
    <w:rsid w:val="00DA39E6"/>
    <w:rsid w:val="00DA6605"/>
    <w:rsid w:val="00DA68C7"/>
    <w:rsid w:val="00DA6F7C"/>
    <w:rsid w:val="00DC322F"/>
    <w:rsid w:val="00DD64AB"/>
    <w:rsid w:val="00DE130E"/>
    <w:rsid w:val="00DE16D0"/>
    <w:rsid w:val="00DE191E"/>
    <w:rsid w:val="00DE315B"/>
    <w:rsid w:val="00DE543B"/>
    <w:rsid w:val="00DF4826"/>
    <w:rsid w:val="00DF5BF0"/>
    <w:rsid w:val="00E00620"/>
    <w:rsid w:val="00E01DD2"/>
    <w:rsid w:val="00E02102"/>
    <w:rsid w:val="00E056D6"/>
    <w:rsid w:val="00E05878"/>
    <w:rsid w:val="00E152EB"/>
    <w:rsid w:val="00E33DB7"/>
    <w:rsid w:val="00E35DEC"/>
    <w:rsid w:val="00E35E26"/>
    <w:rsid w:val="00E367FB"/>
    <w:rsid w:val="00E40DC6"/>
    <w:rsid w:val="00E412FB"/>
    <w:rsid w:val="00E43432"/>
    <w:rsid w:val="00E462FB"/>
    <w:rsid w:val="00E53927"/>
    <w:rsid w:val="00E559DF"/>
    <w:rsid w:val="00E60A0D"/>
    <w:rsid w:val="00E62555"/>
    <w:rsid w:val="00E660E1"/>
    <w:rsid w:val="00E6716E"/>
    <w:rsid w:val="00E70BDF"/>
    <w:rsid w:val="00E719DF"/>
    <w:rsid w:val="00E71DFD"/>
    <w:rsid w:val="00E767FA"/>
    <w:rsid w:val="00E83CCA"/>
    <w:rsid w:val="00E86A9F"/>
    <w:rsid w:val="00E94EDB"/>
    <w:rsid w:val="00E9537D"/>
    <w:rsid w:val="00E977E0"/>
    <w:rsid w:val="00EA1FD5"/>
    <w:rsid w:val="00EA4F87"/>
    <w:rsid w:val="00EA6C31"/>
    <w:rsid w:val="00EA7C3E"/>
    <w:rsid w:val="00EB1319"/>
    <w:rsid w:val="00EB2E6D"/>
    <w:rsid w:val="00EB4F42"/>
    <w:rsid w:val="00EB5119"/>
    <w:rsid w:val="00ED0D52"/>
    <w:rsid w:val="00ED2D3F"/>
    <w:rsid w:val="00ED5FF9"/>
    <w:rsid w:val="00ED6775"/>
    <w:rsid w:val="00ED6846"/>
    <w:rsid w:val="00EE589B"/>
    <w:rsid w:val="00EF0C07"/>
    <w:rsid w:val="00EF0F76"/>
    <w:rsid w:val="00EF1F4C"/>
    <w:rsid w:val="00F12755"/>
    <w:rsid w:val="00F20ECB"/>
    <w:rsid w:val="00F2388B"/>
    <w:rsid w:val="00F32BDE"/>
    <w:rsid w:val="00F34164"/>
    <w:rsid w:val="00F369EF"/>
    <w:rsid w:val="00F36BFB"/>
    <w:rsid w:val="00F43F51"/>
    <w:rsid w:val="00F44CAB"/>
    <w:rsid w:val="00F55A4A"/>
    <w:rsid w:val="00F56698"/>
    <w:rsid w:val="00F70DAC"/>
    <w:rsid w:val="00F754EB"/>
    <w:rsid w:val="00F808F7"/>
    <w:rsid w:val="00F82532"/>
    <w:rsid w:val="00F85E9B"/>
    <w:rsid w:val="00F87A21"/>
    <w:rsid w:val="00F926F1"/>
    <w:rsid w:val="00F9335D"/>
    <w:rsid w:val="00F9408F"/>
    <w:rsid w:val="00FA2690"/>
    <w:rsid w:val="00FA432A"/>
    <w:rsid w:val="00FA5D73"/>
    <w:rsid w:val="00FA65BE"/>
    <w:rsid w:val="00FB711D"/>
    <w:rsid w:val="00FC16D1"/>
    <w:rsid w:val="00FE532C"/>
    <w:rsid w:val="00FE6526"/>
    <w:rsid w:val="00FF36AF"/>
    <w:rsid w:val="00FF69B3"/>
    <w:rsid w:val="00FF6C2F"/>
    <w:rsid w:val="00FF6CF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16B0B5F"/>
  <w15:docId w15:val="{FB035A8E-9094-4FFF-87EA-0FCF08D6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83D"/>
    <w:pPr>
      <w:spacing w:after="0" w:line="240" w:lineRule="auto"/>
    </w:pPr>
    <w:rPr>
      <w:color w:val="262626" w:themeColor="text1" w:themeTint="D9"/>
    </w:rPr>
  </w:style>
  <w:style w:type="paragraph" w:styleId="Ttulo1">
    <w:name w:val="heading 1"/>
    <w:basedOn w:val="Normal"/>
    <w:next w:val="Normal"/>
    <w:link w:val="Ttulo1Char"/>
    <w:qFormat/>
    <w:rsid w:val="00FA65BE"/>
    <w:pPr>
      <w:keepNext/>
      <w:spacing w:after="480"/>
      <w:jc w:val="center"/>
      <w:outlineLvl w:val="0"/>
    </w:pPr>
    <w:rPr>
      <w:rFonts w:ascii="Times New Roman" w:eastAsia="Times New Roman" w:hAnsi="Times New Roman" w:cs="Times New Roman"/>
      <w:b/>
      <w:bCs/>
      <w:sz w:val="30"/>
      <w:szCs w:val="20"/>
      <w:lang w:val="it-IT" w:eastAsia="pt-BR"/>
    </w:rPr>
  </w:style>
  <w:style w:type="paragraph" w:styleId="Ttulo2">
    <w:name w:val="heading 2"/>
    <w:aliases w:val="_Revista"/>
    <w:basedOn w:val="Normal"/>
    <w:next w:val="Normal"/>
    <w:link w:val="Ttulo2Char"/>
    <w:unhideWhenUsed/>
    <w:qFormat/>
    <w:rsid w:val="00D97B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A1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AE7A8E"/>
    <w:pPr>
      <w:keepNext/>
      <w:spacing w:before="240" w:after="60" w:line="360" w:lineRule="exact"/>
      <w:ind w:firstLine="709"/>
      <w:jc w:val="both"/>
      <w:outlineLvl w:val="3"/>
    </w:pPr>
    <w:rPr>
      <w:rFonts w:ascii="Calibri" w:eastAsia="Times New Roman" w:hAnsi="Calibri" w:cs="Times New Roman"/>
      <w:b/>
      <w:bCs/>
      <w:color w:val="auto"/>
      <w:sz w:val="28"/>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00465"/>
    <w:pPr>
      <w:tabs>
        <w:tab w:val="center" w:pos="4252"/>
        <w:tab w:val="right" w:pos="8504"/>
      </w:tabs>
    </w:pPr>
  </w:style>
  <w:style w:type="character" w:customStyle="1" w:styleId="CabealhoChar">
    <w:name w:val="Cabeçalho Char"/>
    <w:basedOn w:val="Fontepargpadro"/>
    <w:link w:val="Cabealho"/>
    <w:uiPriority w:val="99"/>
    <w:rsid w:val="00500465"/>
    <w:rPr>
      <w:lang w:val="fr-FR"/>
    </w:rPr>
  </w:style>
  <w:style w:type="paragraph" w:styleId="PargrafodaLista">
    <w:name w:val="List Paragraph"/>
    <w:basedOn w:val="Normal"/>
    <w:qFormat/>
    <w:rsid w:val="00DE16D0"/>
    <w:pPr>
      <w:ind w:left="720"/>
      <w:contextualSpacing/>
    </w:pPr>
  </w:style>
  <w:style w:type="paragraph" w:styleId="Rodap">
    <w:name w:val="footer"/>
    <w:basedOn w:val="Normal"/>
    <w:link w:val="RodapChar"/>
    <w:unhideWhenUsed/>
    <w:rsid w:val="00DE16D0"/>
    <w:pPr>
      <w:tabs>
        <w:tab w:val="center" w:pos="4252"/>
        <w:tab w:val="right" w:pos="8504"/>
      </w:tabs>
    </w:pPr>
  </w:style>
  <w:style w:type="table" w:styleId="Tabelacomgrade">
    <w:name w:val="Table Grid"/>
    <w:basedOn w:val="Tabelanormal"/>
    <w:rsid w:val="00A7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DE16D0"/>
    <w:rPr>
      <w:color w:val="262626" w:themeColor="text1" w:themeTint="D9"/>
    </w:rPr>
  </w:style>
  <w:style w:type="character" w:styleId="Nmerodepgina">
    <w:name w:val="page number"/>
    <w:basedOn w:val="Fontepargpadro"/>
    <w:uiPriority w:val="99"/>
    <w:unhideWhenUsed/>
    <w:rsid w:val="00935DE6"/>
    <w:rPr>
      <w:color w:val="242424"/>
    </w:rPr>
  </w:style>
  <w:style w:type="character" w:customStyle="1" w:styleId="Ttulo1Char">
    <w:name w:val="Título 1 Char"/>
    <w:basedOn w:val="Fontepargpadro"/>
    <w:link w:val="Ttulo1"/>
    <w:rsid w:val="00FA65BE"/>
    <w:rPr>
      <w:rFonts w:ascii="Times New Roman" w:eastAsia="Times New Roman" w:hAnsi="Times New Roman" w:cs="Times New Roman"/>
      <w:b/>
      <w:bCs/>
      <w:sz w:val="30"/>
      <w:szCs w:val="20"/>
      <w:lang w:val="it-IT" w:eastAsia="pt-BR"/>
    </w:rPr>
  </w:style>
  <w:style w:type="paragraph" w:styleId="Textodebalo">
    <w:name w:val="Balloon Text"/>
    <w:basedOn w:val="Normal"/>
    <w:link w:val="TextodebaloChar"/>
    <w:semiHidden/>
    <w:unhideWhenUsed/>
    <w:rsid w:val="00F2388B"/>
    <w:rPr>
      <w:rFonts w:ascii="Lucida Grande" w:hAnsi="Lucida Grande"/>
      <w:sz w:val="18"/>
      <w:szCs w:val="18"/>
    </w:rPr>
  </w:style>
  <w:style w:type="character" w:customStyle="1" w:styleId="TextodebaloChar">
    <w:name w:val="Texto de balão Char"/>
    <w:basedOn w:val="Fontepargpadro"/>
    <w:link w:val="Textodebalo"/>
    <w:uiPriority w:val="99"/>
    <w:semiHidden/>
    <w:rsid w:val="00F2388B"/>
    <w:rPr>
      <w:rFonts w:ascii="Lucida Grande" w:hAnsi="Lucida Grande"/>
      <w:sz w:val="18"/>
      <w:szCs w:val="18"/>
      <w:lang w:val="fr-FR"/>
    </w:rPr>
  </w:style>
  <w:style w:type="paragraph" w:customStyle="1" w:styleId="secaosecundaria">
    <w:name w:val="_secao_secundaria"/>
    <w:basedOn w:val="Normal"/>
    <w:autoRedefine/>
    <w:qFormat/>
    <w:rsid w:val="000F0795"/>
    <w:pPr>
      <w:spacing w:before="480" w:after="240"/>
      <w:ind w:left="2835"/>
    </w:pPr>
    <w:rPr>
      <w:color w:val="242424"/>
      <w:szCs w:val="20"/>
    </w:rPr>
  </w:style>
  <w:style w:type="paragraph" w:customStyle="1" w:styleId="secaoterciaria">
    <w:name w:val="_secao_terciaria"/>
    <w:basedOn w:val="Normal"/>
    <w:autoRedefine/>
    <w:qFormat/>
    <w:rsid w:val="001F3265"/>
    <w:pPr>
      <w:spacing w:before="480" w:after="240"/>
      <w:ind w:left="2835"/>
    </w:pPr>
    <w:rPr>
      <w:color w:val="242424"/>
      <w:szCs w:val="20"/>
    </w:rPr>
  </w:style>
  <w:style w:type="paragraph" w:customStyle="1" w:styleId="secaoquaternaria">
    <w:name w:val="_secao_quaternaria"/>
    <w:basedOn w:val="secaoterciaria"/>
    <w:autoRedefine/>
    <w:qFormat/>
    <w:rsid w:val="00873436"/>
  </w:style>
  <w:style w:type="paragraph" w:customStyle="1" w:styleId="secaoquinaria">
    <w:name w:val="_secao_quinaria"/>
    <w:basedOn w:val="secaoquaternaria"/>
    <w:autoRedefine/>
    <w:qFormat/>
    <w:rsid w:val="001F3265"/>
    <w:rPr>
      <w:i/>
      <w14:textFill>
        <w14:solidFill>
          <w14:srgbClr w14:val="242424">
            <w14:lumMod w14:val="85000"/>
            <w14:lumOff w14:val="15000"/>
            <w14:lumMod w14:val="85000"/>
            <w14:lumOff w14:val="15000"/>
          </w14:srgbClr>
        </w14:solidFill>
      </w14:textFill>
    </w:rPr>
  </w:style>
  <w:style w:type="paragraph" w:customStyle="1" w:styleId="linkrevista">
    <w:name w:val="_link_revista"/>
    <w:basedOn w:val="Normal"/>
    <w:qFormat/>
    <w:rsid w:val="007544E7"/>
    <w:pPr>
      <w:jc w:val="right"/>
    </w:pPr>
    <w:rPr>
      <w:rFonts w:ascii="Arial" w:hAnsi="Arial" w:cs="Arial"/>
      <w:color w:val="0563C1"/>
      <w:sz w:val="14"/>
      <w:szCs w:val="14"/>
      <w:u w:val="single"/>
      <w14:textFill>
        <w14:solidFill>
          <w14:srgbClr w14:val="0563C1">
            <w14:lumMod w14:val="85000"/>
            <w14:lumOff w14:val="15000"/>
          </w14:srgbClr>
        </w14:solidFill>
      </w14:textFill>
    </w:rPr>
  </w:style>
  <w:style w:type="paragraph" w:customStyle="1" w:styleId="tituloprincipal">
    <w:name w:val="_titulo_principal"/>
    <w:basedOn w:val="Normal"/>
    <w:autoRedefine/>
    <w:qFormat/>
    <w:rsid w:val="007D141B"/>
    <w:pPr>
      <w:spacing w:before="480" w:after="240"/>
    </w:pPr>
    <w:rPr>
      <w:b/>
      <w:color w:val="575757"/>
      <w:sz w:val="40"/>
      <w:szCs w:val="40"/>
      <w14:textFill>
        <w14:solidFill>
          <w14:srgbClr w14:val="575757">
            <w14:lumMod w14:val="85000"/>
            <w14:lumOff w14:val="15000"/>
          </w14:srgbClr>
        </w14:solidFill>
      </w14:textFill>
    </w:rPr>
  </w:style>
  <w:style w:type="paragraph" w:customStyle="1" w:styleId="secaoprimcentral">
    <w:name w:val="_secao_prim_central"/>
    <w:basedOn w:val="Normal"/>
    <w:autoRedefine/>
    <w:qFormat/>
    <w:rsid w:val="000D57D9"/>
    <w:pPr>
      <w:spacing w:before="480" w:after="240"/>
      <w:jc w:val="center"/>
    </w:pPr>
    <w:rPr>
      <w:b/>
      <w:color w:val="242424"/>
      <w14:textFill>
        <w14:solidFill>
          <w14:srgbClr w14:val="242424">
            <w14:lumMod w14:val="85000"/>
            <w14:lumOff w14:val="15000"/>
          </w14:srgbClr>
        </w14:solidFill>
      </w14:textFill>
    </w:rPr>
  </w:style>
  <w:style w:type="paragraph" w:customStyle="1" w:styleId="autor">
    <w:name w:val="_autor"/>
    <w:basedOn w:val="Normal"/>
    <w:autoRedefine/>
    <w:qFormat/>
    <w:rsid w:val="00962479"/>
    <w:rPr>
      <w:rFonts w:ascii="Arial" w:hAnsi="Arial" w:cs="Arial"/>
      <w:b/>
      <w:sz w:val="14"/>
      <w:szCs w:val="14"/>
    </w:rPr>
  </w:style>
  <w:style w:type="paragraph" w:customStyle="1" w:styleId="emailautoreOrcid">
    <w:name w:val="_email_autor_e_Orcid"/>
    <w:basedOn w:val="Normal"/>
    <w:autoRedefine/>
    <w:qFormat/>
    <w:rsid w:val="009E23F3"/>
    <w:rPr>
      <w:rFonts w:ascii="Arial" w:hAnsi="Arial" w:cs="Arial"/>
      <w:color w:val="0563C1"/>
      <w:sz w:val="12"/>
      <w:szCs w:val="12"/>
      <w:u w:val="single"/>
    </w:rPr>
  </w:style>
  <w:style w:type="paragraph" w:customStyle="1" w:styleId="afiliacao">
    <w:name w:val="_afiliacao"/>
    <w:basedOn w:val="Normal"/>
    <w:autoRedefine/>
    <w:qFormat/>
    <w:rsid w:val="00C82223"/>
    <w:pPr>
      <w:spacing w:after="240"/>
    </w:pPr>
    <w:rPr>
      <w:rFonts w:ascii="Arial" w:hAnsi="Arial" w:cs="Arial"/>
      <w:sz w:val="12"/>
      <w:szCs w:val="12"/>
    </w:rPr>
  </w:style>
  <w:style w:type="paragraph" w:customStyle="1" w:styleId="resumo">
    <w:name w:val="_resumo"/>
    <w:basedOn w:val="Normal"/>
    <w:autoRedefine/>
    <w:qFormat/>
    <w:rsid w:val="009C2A96"/>
    <w:pPr>
      <w:spacing w:after="120"/>
      <w:ind w:left="5"/>
      <w:jc w:val="both"/>
    </w:pPr>
    <w:rPr>
      <w:color w:val="262626"/>
      <w:sz w:val="20"/>
      <w:szCs w:val="20"/>
      <w14:textFill>
        <w14:solidFill>
          <w14:srgbClr w14:val="262626">
            <w14:lumMod w14:val="85000"/>
            <w14:lumOff w14:val="15000"/>
            <w14:lumMod w14:val="85000"/>
            <w14:lumOff w14:val="15000"/>
          </w14:srgbClr>
        </w14:solidFill>
      </w14:textFill>
    </w:rPr>
  </w:style>
  <w:style w:type="character" w:customStyle="1" w:styleId="palavras-chave">
    <w:name w:val="_palavras-chave"/>
    <w:basedOn w:val="Fontepargpadro"/>
    <w:uiPriority w:val="1"/>
    <w:qFormat/>
    <w:rsid w:val="00CB61DD"/>
    <w:rPr>
      <w:rFonts w:asciiTheme="minorHAnsi" w:hAnsiTheme="minorHAnsi"/>
      <w:b/>
      <w:color w:val="242424"/>
      <w:sz w:val="20"/>
    </w:rPr>
  </w:style>
  <w:style w:type="character" w:customStyle="1" w:styleId="resumoanteposto">
    <w:name w:val="_resumo_anteposto"/>
    <w:basedOn w:val="Fontepargpadro"/>
    <w:uiPriority w:val="1"/>
    <w:qFormat/>
    <w:rsid w:val="001F3265"/>
    <w:rPr>
      <w:b w:val="0"/>
      <w:color w:val="242424"/>
    </w:rPr>
  </w:style>
  <w:style w:type="paragraph" w:customStyle="1" w:styleId="secaoprimaria">
    <w:name w:val="_secao_primaria"/>
    <w:basedOn w:val="Normal"/>
    <w:autoRedefine/>
    <w:qFormat/>
    <w:rsid w:val="00935DE6"/>
    <w:pPr>
      <w:spacing w:before="480" w:after="240"/>
      <w:ind w:left="2835"/>
    </w:pPr>
    <w:rPr>
      <w:b/>
      <w:color w:val="242424"/>
      <w14:textFill>
        <w14:solidFill>
          <w14:srgbClr w14:val="242424">
            <w14:lumMod w14:val="85000"/>
            <w14:lumOff w14:val="15000"/>
          </w14:srgbClr>
        </w14:solidFill>
      </w14:textFill>
    </w:rPr>
  </w:style>
  <w:style w:type="paragraph" w:customStyle="1" w:styleId="texto">
    <w:name w:val="_texto"/>
    <w:basedOn w:val="Normal"/>
    <w:autoRedefine/>
    <w:qFormat/>
    <w:rsid w:val="000A50BC"/>
    <w:pPr>
      <w:spacing w:after="120"/>
      <w:ind w:left="2835" w:firstLine="397"/>
      <w:jc w:val="both"/>
    </w:pPr>
    <w:rPr>
      <w:bCs/>
      <w:color w:val="262626"/>
      <w14:textFill>
        <w14:solidFill>
          <w14:srgbClr w14:val="262626">
            <w14:lumMod w14:val="85000"/>
            <w14:lumOff w14:val="15000"/>
            <w14:lumMod w14:val="85000"/>
            <w14:lumOff w14:val="15000"/>
          </w14:srgbClr>
        </w14:solidFill>
      </w14:textFill>
    </w:rPr>
  </w:style>
  <w:style w:type="paragraph" w:customStyle="1" w:styleId="legendabibliografica">
    <w:name w:val="_legenda_bibliografica"/>
    <w:basedOn w:val="Normal"/>
    <w:qFormat/>
    <w:rsid w:val="00DE16D0"/>
    <w:pPr>
      <w:tabs>
        <w:tab w:val="center" w:pos="4252"/>
        <w:tab w:val="right" w:pos="8504"/>
      </w:tabs>
    </w:pPr>
    <w:rPr>
      <w:rFonts w:ascii="Arial" w:hAnsi="Arial" w:cs="Arial"/>
      <w:color w:val="575757"/>
      <w:sz w:val="14"/>
      <w:szCs w:val="14"/>
      <w14:textFill>
        <w14:solidFill>
          <w14:srgbClr w14:val="575757">
            <w14:lumMod w14:val="85000"/>
            <w14:lumOff w14:val="15000"/>
          </w14:srgbClr>
        </w14:solidFill>
      </w14:textFill>
    </w:rPr>
  </w:style>
  <w:style w:type="paragraph" w:customStyle="1" w:styleId="tituloilustracao">
    <w:name w:val="_titulo_ilustracao"/>
    <w:basedOn w:val="Normal"/>
    <w:qFormat/>
    <w:rsid w:val="00E43432"/>
    <w:pPr>
      <w:spacing w:before="240" w:after="40"/>
      <w:ind w:left="2835"/>
      <w:jc w:val="center"/>
    </w:pPr>
    <w:rPr>
      <w:color w:val="262626"/>
      <w:sz w:val="20"/>
      <w:szCs w:val="20"/>
      <w14:textFill>
        <w14:solidFill>
          <w14:srgbClr w14:val="262626">
            <w14:lumMod w14:val="85000"/>
            <w14:lumOff w14:val="15000"/>
          </w14:srgbClr>
        </w14:solidFill>
      </w14:textFill>
    </w:rPr>
  </w:style>
  <w:style w:type="paragraph" w:customStyle="1" w:styleId="fonteilustracao">
    <w:name w:val="_fonte_ilustracao"/>
    <w:basedOn w:val="Normal"/>
    <w:autoRedefine/>
    <w:qFormat/>
    <w:rsid w:val="000D57D9"/>
    <w:pPr>
      <w:spacing w:before="40" w:after="240"/>
      <w:ind w:left="2835"/>
      <w:jc w:val="center"/>
    </w:pPr>
    <w:rPr>
      <w:color w:val="262626"/>
      <w:sz w:val="20"/>
      <w:szCs w:val="20"/>
      <w14:textFill>
        <w14:solidFill>
          <w14:srgbClr w14:val="262626">
            <w14:lumMod w14:val="85000"/>
            <w14:lumOff w14:val="15000"/>
          </w14:srgbClr>
        </w14:solidFill>
      </w14:textFill>
    </w:rPr>
  </w:style>
  <w:style w:type="paragraph" w:customStyle="1" w:styleId="referencias">
    <w:name w:val="_referencias"/>
    <w:basedOn w:val="Normal"/>
    <w:autoRedefine/>
    <w:qFormat/>
    <w:rsid w:val="000D57D9"/>
    <w:pPr>
      <w:spacing w:after="480"/>
      <w:ind w:left="2835"/>
    </w:pPr>
    <w:rPr>
      <w:color w:val="262626"/>
      <w14:textFill>
        <w14:solidFill>
          <w14:srgbClr w14:val="262626">
            <w14:lumMod w14:val="85000"/>
            <w14:lumOff w14:val="15000"/>
            <w14:lumMod w14:val="85000"/>
            <w14:lumOff w14:val="15000"/>
          </w14:srgbClr>
        </w14:solidFill>
      </w14:textFill>
    </w:rPr>
  </w:style>
  <w:style w:type="paragraph" w:customStyle="1" w:styleId="creditos">
    <w:name w:val="_creditos"/>
    <w:basedOn w:val="Normal"/>
    <w:autoRedefine/>
    <w:qFormat/>
    <w:rsid w:val="00E02102"/>
    <w:pPr>
      <w:spacing w:line="288" w:lineRule="auto"/>
    </w:pPr>
    <w:rPr>
      <w:rFonts w:ascii="Arial" w:hAnsi="Arial" w:cs="Arial"/>
      <w:color w:val="575757"/>
      <w:sz w:val="14"/>
      <w:szCs w:val="14"/>
      <w14:textFill>
        <w14:solidFill>
          <w14:srgbClr w14:val="575757">
            <w14:lumMod w14:val="85000"/>
            <w14:lumOff w14:val="15000"/>
          </w14:srgbClr>
        </w14:solidFill>
      </w14:textFill>
    </w:rPr>
  </w:style>
  <w:style w:type="character" w:customStyle="1" w:styleId="creditoanteposto">
    <w:name w:val="_credito_anteposto"/>
    <w:basedOn w:val="Fontepargpadro"/>
    <w:uiPriority w:val="1"/>
    <w:qFormat/>
    <w:rsid w:val="00935DE6"/>
    <w:rPr>
      <w:b/>
      <w:color w:val="242424"/>
    </w:rPr>
  </w:style>
  <w:style w:type="paragraph" w:customStyle="1" w:styleId="tituloselementospostextuais">
    <w:name w:val="_titulos_elementos_pos_textuais"/>
    <w:basedOn w:val="secaoprimcentral"/>
    <w:autoRedefine/>
    <w:qFormat/>
    <w:rsid w:val="009E63D6"/>
    <w:pPr>
      <w:ind w:left="2835"/>
      <w:jc w:val="left"/>
    </w:pPr>
  </w:style>
  <w:style w:type="paragraph" w:customStyle="1" w:styleId="citacaolonga">
    <w:name w:val="_citacao_longa"/>
    <w:basedOn w:val="texto"/>
    <w:autoRedefine/>
    <w:qFormat/>
    <w:rsid w:val="00383E3D"/>
    <w:pPr>
      <w:spacing w:before="240" w:after="240"/>
      <w:ind w:left="4536" w:firstLine="0"/>
    </w:pPr>
    <w:rPr>
      <w:sz w:val="18"/>
    </w:rPr>
  </w:style>
  <w:style w:type="paragraph" w:customStyle="1" w:styleId="imagens">
    <w:name w:val="_imagens"/>
    <w:basedOn w:val="fonteilustracao"/>
    <w:autoRedefine/>
    <w:qFormat/>
    <w:rsid w:val="002D3BB9"/>
    <w:pPr>
      <w:spacing w:before="0" w:after="0"/>
    </w:pPr>
  </w:style>
  <w:style w:type="paragraph" w:customStyle="1" w:styleId="equacao">
    <w:name w:val="_equacao"/>
    <w:basedOn w:val="texto"/>
    <w:autoRedefine/>
    <w:qFormat/>
    <w:rsid w:val="005143D5"/>
    <w:pPr>
      <w:spacing w:before="240" w:after="240"/>
      <w:ind w:firstLine="0"/>
      <w:jc w:val="right"/>
    </w:pPr>
    <w:rPr>
      <w:sz w:val="20"/>
      <w:szCs w:val="20"/>
      <w14:textFill>
        <w14:solidFill>
          <w14:srgbClr w14:val="262626">
            <w14:lumMod w14:val="85000"/>
            <w14:lumOff w14:val="15000"/>
          </w14:srgbClr>
        </w14:solidFill>
      </w14:textFill>
    </w:rPr>
  </w:style>
  <w:style w:type="paragraph" w:customStyle="1" w:styleId="textotabelasilustracoes">
    <w:name w:val="_texto_tabelas_ilustracoes"/>
    <w:qFormat/>
    <w:rsid w:val="00552147"/>
    <w:pPr>
      <w:spacing w:after="0" w:line="240" w:lineRule="auto"/>
      <w:jc w:val="center"/>
    </w:pPr>
    <w:rPr>
      <w:color w:val="262626"/>
      <w:sz w:val="20"/>
    </w:rPr>
  </w:style>
  <w:style w:type="paragraph" w:customStyle="1" w:styleId="textotabelasilustracoesembranco">
    <w:name w:val="_texto_tabelas_ilustracoes_em_branco"/>
    <w:basedOn w:val="textotabelasilustracoes"/>
    <w:autoRedefine/>
    <w:qFormat/>
    <w:rsid w:val="008267E6"/>
    <w:pPr>
      <w:spacing w:before="240" w:after="40"/>
      <w:ind w:left="2835"/>
    </w:pPr>
    <w:rPr>
      <w:color w:val="242424"/>
    </w:rPr>
  </w:style>
  <w:style w:type="character" w:customStyle="1" w:styleId="hyperlink">
    <w:name w:val="_hyperlink"/>
    <w:basedOn w:val="Fontepargpadro"/>
    <w:uiPriority w:val="1"/>
    <w:rsid w:val="001E6EEC"/>
    <w:rPr>
      <w:color w:val="0563C1"/>
      <w:sz w:val="16"/>
      <w:szCs w:val="16"/>
      <w:u w:val="single"/>
    </w:rPr>
  </w:style>
  <w:style w:type="paragraph" w:customStyle="1" w:styleId="textonotaseagradecimentos">
    <w:name w:val="_texto_notas_e_agradecimentos"/>
    <w:basedOn w:val="texto"/>
    <w:autoRedefine/>
    <w:qFormat/>
    <w:rsid w:val="002D3BB9"/>
    <w:pPr>
      <w:ind w:firstLine="0"/>
    </w:pPr>
    <w:rPr>
      <w:szCs w:val="16"/>
    </w:rPr>
  </w:style>
  <w:style w:type="character" w:styleId="Hyperlink0">
    <w:name w:val="Hyperlink"/>
    <w:basedOn w:val="Fontepargpadro"/>
    <w:unhideWhenUsed/>
    <w:rsid w:val="009F36BB"/>
    <w:rPr>
      <w:color w:val="0563C1" w:themeColor="hyperlink"/>
      <w:u w:val="single"/>
    </w:rPr>
  </w:style>
  <w:style w:type="character" w:customStyle="1" w:styleId="Ttulo2Char">
    <w:name w:val="Título 2 Char"/>
    <w:aliases w:val="_Revista Char"/>
    <w:basedOn w:val="Fontepargpadro"/>
    <w:link w:val="Ttulo2"/>
    <w:rsid w:val="00D97BEA"/>
    <w:rPr>
      <w:rFonts w:asciiTheme="majorHAnsi" w:eastAsiaTheme="majorEastAsia" w:hAnsiTheme="majorHAnsi" w:cstheme="majorBidi"/>
      <w:color w:val="2E74B5" w:themeColor="accent1" w:themeShade="BF"/>
      <w:sz w:val="26"/>
      <w:szCs w:val="26"/>
    </w:rPr>
  </w:style>
  <w:style w:type="paragraph" w:customStyle="1" w:styleId="ResumoRevista">
    <w:name w:val="ResumoRevista"/>
    <w:basedOn w:val="Normal"/>
    <w:qFormat/>
    <w:rsid w:val="00AB2336"/>
    <w:pPr>
      <w:spacing w:after="120"/>
      <w:ind w:firstLine="709"/>
      <w:jc w:val="both"/>
    </w:pPr>
    <w:rPr>
      <w:color w:val="auto"/>
    </w:rPr>
  </w:style>
  <w:style w:type="paragraph" w:styleId="Textodenotaderodap">
    <w:name w:val="footnote text"/>
    <w:basedOn w:val="Normal"/>
    <w:link w:val="TextodenotaderodapChar"/>
    <w:unhideWhenUsed/>
    <w:rsid w:val="008267E6"/>
    <w:pPr>
      <w:spacing w:line="360" w:lineRule="exact"/>
      <w:ind w:firstLine="709"/>
      <w:jc w:val="both"/>
    </w:pPr>
    <w:rPr>
      <w:color w:val="auto"/>
      <w:sz w:val="20"/>
      <w:szCs w:val="20"/>
    </w:rPr>
  </w:style>
  <w:style w:type="character" w:customStyle="1" w:styleId="TextodenotaderodapChar">
    <w:name w:val="Texto de nota de rodapé Char"/>
    <w:basedOn w:val="Fontepargpadro"/>
    <w:link w:val="Textodenotaderodap"/>
    <w:uiPriority w:val="99"/>
    <w:rsid w:val="008267E6"/>
    <w:rPr>
      <w:sz w:val="20"/>
      <w:szCs w:val="20"/>
    </w:rPr>
  </w:style>
  <w:style w:type="character" w:styleId="Refdenotaderodap">
    <w:name w:val="footnote reference"/>
    <w:basedOn w:val="Fontepargpadro"/>
    <w:semiHidden/>
    <w:unhideWhenUsed/>
    <w:rsid w:val="008267E6"/>
    <w:rPr>
      <w:vertAlign w:val="superscript"/>
    </w:rPr>
  </w:style>
  <w:style w:type="paragraph" w:customStyle="1" w:styleId="LegendaRevista">
    <w:name w:val="LegendaRevista"/>
    <w:basedOn w:val="Normal"/>
    <w:qFormat/>
    <w:rsid w:val="008267E6"/>
    <w:pPr>
      <w:spacing w:line="360" w:lineRule="exact"/>
      <w:ind w:left="1134" w:right="1134"/>
      <w:jc w:val="center"/>
    </w:pPr>
    <w:rPr>
      <w:i/>
      <w:color w:val="auto"/>
    </w:rPr>
  </w:style>
  <w:style w:type="paragraph" w:customStyle="1" w:styleId="NormalCentreRevista">
    <w:name w:val="NormalCentreRevista"/>
    <w:basedOn w:val="Normal"/>
    <w:qFormat/>
    <w:rsid w:val="008267E6"/>
    <w:pPr>
      <w:spacing w:after="120" w:line="360" w:lineRule="exact"/>
      <w:ind w:firstLine="709"/>
      <w:jc w:val="center"/>
    </w:pPr>
    <w:rPr>
      <w:noProof/>
      <w:color w:val="auto"/>
      <w:lang w:val="fr-FR" w:eastAsia="fr-FR"/>
    </w:rPr>
  </w:style>
  <w:style w:type="character" w:styleId="CitaoHTML">
    <w:name w:val="HTML Cite"/>
    <w:rsid w:val="008267E6"/>
    <w:rPr>
      <w:i/>
      <w:iCs/>
    </w:rPr>
  </w:style>
  <w:style w:type="character" w:customStyle="1" w:styleId="Ttulo4Char">
    <w:name w:val="Título 4 Char"/>
    <w:basedOn w:val="Fontepargpadro"/>
    <w:link w:val="Ttulo4"/>
    <w:semiHidden/>
    <w:rsid w:val="00AE7A8E"/>
    <w:rPr>
      <w:rFonts w:ascii="Calibri" w:eastAsia="Times New Roman" w:hAnsi="Calibri" w:cs="Times New Roman"/>
      <w:b/>
      <w:bCs/>
      <w:sz w:val="28"/>
      <w:szCs w:val="28"/>
      <w:lang w:val="x-none"/>
    </w:rPr>
  </w:style>
  <w:style w:type="paragraph" w:customStyle="1" w:styleId="NormalsuivantTitre">
    <w:name w:val="Normal suivant Titre"/>
    <w:basedOn w:val="Normal"/>
    <w:next w:val="Normal"/>
    <w:qFormat/>
    <w:rsid w:val="00AE7A8E"/>
    <w:pPr>
      <w:spacing w:after="120" w:line="360" w:lineRule="exact"/>
      <w:jc w:val="both"/>
    </w:pPr>
    <w:rPr>
      <w:color w:val="auto"/>
    </w:rPr>
  </w:style>
  <w:style w:type="paragraph" w:styleId="Ttulo">
    <w:name w:val="Title"/>
    <w:basedOn w:val="Normal"/>
    <w:next w:val="Normal"/>
    <w:link w:val="TtuloChar"/>
    <w:qFormat/>
    <w:rsid w:val="00AE7A8E"/>
    <w:pPr>
      <w:pBdr>
        <w:bottom w:val="single" w:sz="8" w:space="4" w:color="5B9BD5" w:themeColor="accent1"/>
      </w:pBdr>
      <w:spacing w:after="300" w:line="360" w:lineRule="exact"/>
      <w:ind w:firstLine="709"/>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AE7A8E"/>
    <w:rPr>
      <w:rFonts w:asciiTheme="majorHAnsi" w:eastAsiaTheme="majorEastAsia" w:hAnsiTheme="majorHAnsi" w:cstheme="majorBidi"/>
      <w:color w:val="323E4F" w:themeColor="text2" w:themeShade="BF"/>
      <w:spacing w:val="5"/>
      <w:kern w:val="28"/>
      <w:sz w:val="52"/>
      <w:szCs w:val="52"/>
    </w:rPr>
  </w:style>
  <w:style w:type="paragraph" w:customStyle="1" w:styleId="Alnea">
    <w:name w:val="Alínea"/>
    <w:basedOn w:val="Numerada"/>
    <w:rsid w:val="00AE7A8E"/>
    <w:pPr>
      <w:spacing w:before="60" w:after="240"/>
      <w:ind w:left="357" w:hanging="357"/>
    </w:pPr>
    <w:rPr>
      <w:rFonts w:ascii="Times New Roman" w:eastAsia="Times New Roman" w:hAnsi="Times New Roman" w:cs="Times New Roman"/>
      <w:szCs w:val="24"/>
      <w:lang w:val="pt-PT" w:eastAsia="pt-BR"/>
    </w:rPr>
  </w:style>
  <w:style w:type="paragraph" w:styleId="Numerada">
    <w:name w:val="List Number"/>
    <w:basedOn w:val="Normal"/>
    <w:unhideWhenUsed/>
    <w:rsid w:val="00AE7A8E"/>
    <w:pPr>
      <w:tabs>
        <w:tab w:val="num" w:pos="360"/>
      </w:tabs>
      <w:spacing w:after="120" w:line="360" w:lineRule="exact"/>
      <w:ind w:left="360" w:hanging="360"/>
      <w:contextualSpacing/>
      <w:jc w:val="both"/>
    </w:pPr>
    <w:rPr>
      <w:color w:val="auto"/>
    </w:rPr>
  </w:style>
  <w:style w:type="paragraph" w:styleId="Citao">
    <w:name w:val="Quote"/>
    <w:aliases w:val="CitationRevista"/>
    <w:basedOn w:val="Normal"/>
    <w:next w:val="Normal"/>
    <w:link w:val="CitaoChar"/>
    <w:qFormat/>
    <w:rsid w:val="00AE7A8E"/>
    <w:pPr>
      <w:spacing w:after="120" w:line="360" w:lineRule="exact"/>
      <w:ind w:left="1701" w:firstLine="567"/>
      <w:jc w:val="both"/>
    </w:pPr>
    <w:rPr>
      <w:i/>
      <w:iCs/>
      <w:color w:val="000000" w:themeColor="text1"/>
    </w:rPr>
  </w:style>
  <w:style w:type="character" w:customStyle="1" w:styleId="CitaoChar">
    <w:name w:val="Citação Char"/>
    <w:aliases w:val="CitationRevista Char"/>
    <w:basedOn w:val="Fontepargpadro"/>
    <w:link w:val="Citao"/>
    <w:rsid w:val="00AE7A8E"/>
    <w:rPr>
      <w:i/>
      <w:iCs/>
      <w:color w:val="000000" w:themeColor="text1"/>
    </w:rPr>
  </w:style>
  <w:style w:type="paragraph" w:customStyle="1" w:styleId="NormalGaucheRevista">
    <w:name w:val="NormalGaucheRevista"/>
    <w:basedOn w:val="Normal"/>
    <w:qFormat/>
    <w:rsid w:val="00AE7A8E"/>
    <w:pPr>
      <w:spacing w:after="120" w:line="360" w:lineRule="exact"/>
    </w:pPr>
    <w:rPr>
      <w:color w:val="auto"/>
    </w:rPr>
  </w:style>
  <w:style w:type="paragraph" w:customStyle="1" w:styleId="TitleArticleRevista">
    <w:name w:val="TitleArticleRevista"/>
    <w:basedOn w:val="Normal"/>
    <w:qFormat/>
    <w:rsid w:val="00AE7A8E"/>
    <w:pPr>
      <w:spacing w:after="120" w:line="360" w:lineRule="exact"/>
      <w:ind w:firstLine="709"/>
      <w:jc w:val="right"/>
    </w:pPr>
    <w:rPr>
      <w:rFonts w:asciiTheme="majorHAnsi" w:hAnsiTheme="majorHAnsi"/>
      <w:b/>
      <w:color w:val="auto"/>
      <w:sz w:val="32"/>
    </w:rPr>
  </w:style>
  <w:style w:type="paragraph" w:customStyle="1" w:styleId="NomeAutorRevista">
    <w:name w:val="NomeAutorRevista"/>
    <w:basedOn w:val="Normal"/>
    <w:qFormat/>
    <w:rsid w:val="00AE7A8E"/>
    <w:pPr>
      <w:spacing w:after="120" w:line="360" w:lineRule="exact"/>
      <w:ind w:firstLine="709"/>
      <w:jc w:val="right"/>
    </w:pPr>
    <w:rPr>
      <w:color w:val="auto"/>
    </w:rPr>
  </w:style>
  <w:style w:type="paragraph" w:customStyle="1" w:styleId="NumeroPaginaRevista">
    <w:name w:val="NumeroPaginaRevista"/>
    <w:basedOn w:val="NormalGaucheRevista"/>
    <w:autoRedefine/>
    <w:qFormat/>
    <w:rsid w:val="00AE7A8E"/>
    <w:pPr>
      <w:spacing w:after="0" w:line="240" w:lineRule="auto"/>
      <w:jc w:val="center"/>
    </w:pPr>
    <w:rPr>
      <w:b/>
    </w:rPr>
  </w:style>
  <w:style w:type="paragraph" w:customStyle="1" w:styleId="NormalJustRevista">
    <w:name w:val="NormalJustRevista"/>
    <w:basedOn w:val="NormalGaucheRevista"/>
    <w:qFormat/>
    <w:rsid w:val="00AE7A8E"/>
    <w:pPr>
      <w:spacing w:after="0" w:line="240" w:lineRule="exact"/>
      <w:jc w:val="both"/>
    </w:pPr>
    <w:rPr>
      <w:rFonts w:ascii="Calibri" w:hAnsi="Calibri"/>
    </w:rPr>
  </w:style>
  <w:style w:type="paragraph" w:styleId="NormalWeb">
    <w:name w:val="Normal (Web)"/>
    <w:basedOn w:val="Normal"/>
    <w:uiPriority w:val="99"/>
    <w:unhideWhenUsed/>
    <w:rsid w:val="00AE7A8E"/>
    <w:pPr>
      <w:spacing w:before="100" w:beforeAutospacing="1" w:after="100" w:afterAutospacing="1"/>
    </w:pPr>
    <w:rPr>
      <w:rFonts w:ascii="Times New Roman" w:eastAsia="Times New Roman" w:hAnsi="Times New Roman" w:cs="Times New Roman"/>
      <w:color w:val="auto"/>
      <w:sz w:val="24"/>
      <w:szCs w:val="24"/>
      <w:lang w:eastAsia="pt-BR"/>
    </w:rPr>
  </w:style>
  <w:style w:type="paragraph" w:styleId="Corpodetexto">
    <w:name w:val="Body Text"/>
    <w:basedOn w:val="Normal"/>
    <w:link w:val="CorpodetextoChar"/>
    <w:qFormat/>
    <w:rsid w:val="00AE7A8E"/>
    <w:pPr>
      <w:widowControl w:val="0"/>
      <w:ind w:left="102" w:firstLine="851"/>
    </w:pPr>
    <w:rPr>
      <w:rFonts w:ascii="Times New Roman" w:eastAsia="Times New Roman" w:hAnsi="Times New Roman"/>
      <w:color w:val="auto"/>
      <w:sz w:val="24"/>
      <w:szCs w:val="24"/>
      <w:lang w:val="en-US"/>
    </w:rPr>
  </w:style>
  <w:style w:type="character" w:customStyle="1" w:styleId="CorpodetextoChar">
    <w:name w:val="Corpo de texto Char"/>
    <w:basedOn w:val="Fontepargpadro"/>
    <w:link w:val="Corpodetexto"/>
    <w:rsid w:val="00AE7A8E"/>
    <w:rPr>
      <w:rFonts w:ascii="Times New Roman" w:eastAsia="Times New Roman" w:hAnsi="Times New Roman"/>
      <w:sz w:val="24"/>
      <w:szCs w:val="24"/>
      <w:lang w:val="en-US"/>
    </w:rPr>
  </w:style>
  <w:style w:type="paragraph" w:customStyle="1" w:styleId="Ttulo21">
    <w:name w:val="Título 21"/>
    <w:basedOn w:val="Normal"/>
    <w:uiPriority w:val="1"/>
    <w:qFormat/>
    <w:rsid w:val="00AE7A8E"/>
    <w:pPr>
      <w:widowControl w:val="0"/>
      <w:ind w:left="102"/>
      <w:outlineLvl w:val="2"/>
    </w:pPr>
    <w:rPr>
      <w:rFonts w:ascii="Times New Roman" w:eastAsia="Times New Roman" w:hAnsi="Times New Roman"/>
      <w:b/>
      <w:bCs/>
      <w:color w:val="auto"/>
      <w:sz w:val="24"/>
      <w:szCs w:val="24"/>
      <w:lang w:val="en-US"/>
    </w:rPr>
  </w:style>
  <w:style w:type="paragraph" w:customStyle="1" w:styleId="TableParagraph">
    <w:name w:val="Table Paragraph"/>
    <w:basedOn w:val="Normal"/>
    <w:uiPriority w:val="1"/>
    <w:qFormat/>
    <w:rsid w:val="00AE7A8E"/>
    <w:pPr>
      <w:widowControl w:val="0"/>
    </w:pPr>
    <w:rPr>
      <w:color w:val="auto"/>
      <w:lang w:val="en-US"/>
    </w:rPr>
  </w:style>
  <w:style w:type="paragraph" w:customStyle="1" w:styleId="Default">
    <w:name w:val="Default"/>
    <w:rsid w:val="00AE7A8E"/>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AE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AE7A8E"/>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E7A8E"/>
    <w:pPr>
      <w:ind w:firstLine="709"/>
      <w:jc w:val="both"/>
    </w:pPr>
    <w:rPr>
      <w:color w:val="auto"/>
      <w:sz w:val="20"/>
      <w:szCs w:val="20"/>
    </w:rPr>
  </w:style>
  <w:style w:type="character" w:customStyle="1" w:styleId="TextodenotadefimChar">
    <w:name w:val="Texto de nota de fim Char"/>
    <w:basedOn w:val="Fontepargpadro"/>
    <w:link w:val="Textodenotadefim"/>
    <w:uiPriority w:val="99"/>
    <w:semiHidden/>
    <w:rsid w:val="00AE7A8E"/>
    <w:rPr>
      <w:sz w:val="20"/>
      <w:szCs w:val="20"/>
    </w:rPr>
  </w:style>
  <w:style w:type="character" w:styleId="Refdenotadefim">
    <w:name w:val="endnote reference"/>
    <w:basedOn w:val="Fontepargpadro"/>
    <w:uiPriority w:val="99"/>
    <w:semiHidden/>
    <w:unhideWhenUsed/>
    <w:rsid w:val="00AE7A8E"/>
    <w:rPr>
      <w:vertAlign w:val="superscript"/>
    </w:rPr>
  </w:style>
  <w:style w:type="character" w:styleId="HiperlinkVisitado">
    <w:name w:val="FollowedHyperlink"/>
    <w:basedOn w:val="Fontepargpadro"/>
    <w:uiPriority w:val="99"/>
    <w:semiHidden/>
    <w:unhideWhenUsed/>
    <w:rsid w:val="00AE7A8E"/>
    <w:rPr>
      <w:color w:val="954F72" w:themeColor="followedHyperlink"/>
      <w:u w:val="single"/>
    </w:rPr>
  </w:style>
  <w:style w:type="character" w:styleId="Refdecomentrio">
    <w:name w:val="annotation reference"/>
    <w:basedOn w:val="Fontepargpadro"/>
    <w:uiPriority w:val="99"/>
    <w:semiHidden/>
    <w:unhideWhenUsed/>
    <w:rsid w:val="00AE7A8E"/>
    <w:rPr>
      <w:sz w:val="16"/>
      <w:szCs w:val="16"/>
    </w:rPr>
  </w:style>
  <w:style w:type="paragraph" w:styleId="Textodecomentrio">
    <w:name w:val="annotation text"/>
    <w:basedOn w:val="Normal"/>
    <w:link w:val="TextodecomentrioChar"/>
    <w:unhideWhenUsed/>
    <w:rsid w:val="00AE7A8E"/>
    <w:pPr>
      <w:spacing w:after="120"/>
      <w:ind w:firstLine="709"/>
      <w:jc w:val="both"/>
    </w:pPr>
    <w:rPr>
      <w:color w:val="auto"/>
      <w:sz w:val="20"/>
      <w:szCs w:val="20"/>
    </w:rPr>
  </w:style>
  <w:style w:type="character" w:customStyle="1" w:styleId="TextodecomentrioChar">
    <w:name w:val="Texto de comentário Char"/>
    <w:basedOn w:val="Fontepargpadro"/>
    <w:link w:val="Textodecomentrio"/>
    <w:rsid w:val="00AE7A8E"/>
    <w:rPr>
      <w:sz w:val="20"/>
      <w:szCs w:val="20"/>
    </w:rPr>
  </w:style>
  <w:style w:type="paragraph" w:styleId="Assuntodocomentrio">
    <w:name w:val="annotation subject"/>
    <w:basedOn w:val="Textodecomentrio"/>
    <w:next w:val="Textodecomentrio"/>
    <w:link w:val="AssuntodocomentrioChar"/>
    <w:uiPriority w:val="99"/>
    <w:semiHidden/>
    <w:unhideWhenUsed/>
    <w:rsid w:val="00AE7A8E"/>
    <w:rPr>
      <w:b/>
      <w:bCs/>
    </w:rPr>
  </w:style>
  <w:style w:type="character" w:customStyle="1" w:styleId="AssuntodocomentrioChar">
    <w:name w:val="Assunto do comentário Char"/>
    <w:basedOn w:val="TextodecomentrioChar"/>
    <w:link w:val="Assuntodocomentrio"/>
    <w:uiPriority w:val="99"/>
    <w:semiHidden/>
    <w:rsid w:val="00AE7A8E"/>
    <w:rPr>
      <w:b/>
      <w:bCs/>
      <w:sz w:val="20"/>
      <w:szCs w:val="20"/>
    </w:rPr>
  </w:style>
  <w:style w:type="character" w:customStyle="1" w:styleId="apple-converted-space">
    <w:name w:val="apple-converted-space"/>
    <w:basedOn w:val="Fontepargpadro"/>
    <w:rsid w:val="00AE7A8E"/>
  </w:style>
  <w:style w:type="paragraph" w:styleId="SemEspaamento">
    <w:name w:val="No Spacing"/>
    <w:uiPriority w:val="1"/>
    <w:qFormat/>
    <w:rsid w:val="00AE7A8E"/>
    <w:pPr>
      <w:spacing w:after="0" w:line="240" w:lineRule="auto"/>
    </w:pPr>
  </w:style>
  <w:style w:type="paragraph" w:customStyle="1" w:styleId="Textoartigo">
    <w:name w:val="Texto artigo"/>
    <w:basedOn w:val="Normal"/>
    <w:link w:val="TextoartigoChar"/>
    <w:autoRedefine/>
    <w:rsid w:val="00AE7A8E"/>
    <w:pPr>
      <w:spacing w:line="360" w:lineRule="auto"/>
      <w:jc w:val="both"/>
    </w:pPr>
    <w:rPr>
      <w:rFonts w:ascii="Arial" w:eastAsia="Times New Roman" w:hAnsi="Arial" w:cs="Arial"/>
      <w:color w:val="auto"/>
      <w:sz w:val="24"/>
      <w:lang w:eastAsia="pt-BR"/>
    </w:rPr>
  </w:style>
  <w:style w:type="character" w:customStyle="1" w:styleId="TextoartigoChar">
    <w:name w:val="Texto artigo Char"/>
    <w:basedOn w:val="Fontepargpadro"/>
    <w:link w:val="Textoartigo"/>
    <w:rsid w:val="00AE7A8E"/>
    <w:rPr>
      <w:rFonts w:ascii="Arial" w:eastAsia="Times New Roman" w:hAnsi="Arial" w:cs="Arial"/>
      <w:sz w:val="24"/>
      <w:lang w:eastAsia="pt-BR"/>
    </w:rPr>
  </w:style>
  <w:style w:type="paragraph" w:customStyle="1" w:styleId="Textointroduo">
    <w:name w:val="Texto introdução"/>
    <w:basedOn w:val="Normal"/>
    <w:link w:val="TextointroduoChar"/>
    <w:autoRedefine/>
    <w:rsid w:val="00AE7A8E"/>
    <w:pPr>
      <w:spacing w:line="360" w:lineRule="auto"/>
      <w:ind w:firstLine="851"/>
      <w:jc w:val="both"/>
    </w:pPr>
    <w:rPr>
      <w:rFonts w:ascii="Arial" w:eastAsia="Times New Roman" w:hAnsi="Arial" w:cs="Arial"/>
      <w:color w:val="auto"/>
      <w:sz w:val="24"/>
      <w:szCs w:val="24"/>
      <w:lang w:eastAsia="pt-BR"/>
    </w:rPr>
  </w:style>
  <w:style w:type="character" w:customStyle="1" w:styleId="TextointroduoChar">
    <w:name w:val="Texto introdução Char"/>
    <w:basedOn w:val="Fontepargpadro"/>
    <w:link w:val="Textointroduo"/>
    <w:rsid w:val="00AE7A8E"/>
    <w:rPr>
      <w:rFonts w:ascii="Arial" w:eastAsia="Times New Roman" w:hAnsi="Arial" w:cs="Arial"/>
      <w:sz w:val="24"/>
      <w:szCs w:val="24"/>
      <w:lang w:eastAsia="pt-BR"/>
    </w:rPr>
  </w:style>
  <w:style w:type="paragraph" w:customStyle="1" w:styleId="Ttuloconsideraesfinais">
    <w:name w:val="Título considerações finais"/>
    <w:basedOn w:val="Normal"/>
    <w:autoRedefine/>
    <w:rsid w:val="00AE7A8E"/>
    <w:pPr>
      <w:spacing w:line="360" w:lineRule="exact"/>
      <w:jc w:val="both"/>
    </w:pPr>
    <w:rPr>
      <w:rFonts w:asciiTheme="majorHAnsi" w:eastAsia="Times New Roman" w:hAnsiTheme="majorHAnsi" w:cs="Arial"/>
      <w:b/>
      <w:color w:val="auto"/>
      <w:sz w:val="32"/>
      <w:szCs w:val="32"/>
      <w:lang w:eastAsia="pt-BR"/>
    </w:rPr>
  </w:style>
  <w:style w:type="character" w:customStyle="1" w:styleId="RevistaCharChar">
    <w:name w:val="_Revista Char Char"/>
    <w:rsid w:val="00AE7A8E"/>
    <w:rPr>
      <w:rFonts w:ascii="Cambria" w:hAnsi="Cambria"/>
      <w:b/>
      <w:sz w:val="28"/>
      <w:lang w:val="pt-BR"/>
    </w:rPr>
  </w:style>
  <w:style w:type="character" w:customStyle="1" w:styleId="CharChar5">
    <w:name w:val="Char Char5"/>
    <w:rsid w:val="00AE7A8E"/>
    <w:rPr>
      <w:rFonts w:ascii="Cambria" w:eastAsia="Times New Roman" w:hAnsi="Cambria" w:cs="Times New Roman"/>
      <w:color w:val="17365D"/>
      <w:spacing w:val="5"/>
      <w:kern w:val="28"/>
      <w:sz w:val="52"/>
      <w:szCs w:val="52"/>
    </w:rPr>
  </w:style>
  <w:style w:type="character" w:customStyle="1" w:styleId="CharChar6">
    <w:name w:val="Char Char6"/>
    <w:rsid w:val="00AE7A8E"/>
    <w:rPr>
      <w:rFonts w:ascii="Cambria" w:hAnsi="Cambria"/>
      <w:b/>
      <w:sz w:val="32"/>
      <w:lang w:val="pt-BR"/>
    </w:rPr>
  </w:style>
  <w:style w:type="paragraph" w:styleId="Recuodecorpodetexto3">
    <w:name w:val="Body Text Indent 3"/>
    <w:basedOn w:val="Normal"/>
    <w:link w:val="Recuodecorpodetexto3Char"/>
    <w:rsid w:val="00AE7A8E"/>
    <w:pPr>
      <w:spacing w:after="80"/>
      <w:ind w:firstLine="709"/>
      <w:jc w:val="both"/>
    </w:pPr>
    <w:rPr>
      <w:rFonts w:ascii="Arial" w:eastAsia="Times New Roman" w:hAnsi="Arial" w:cs="Arial"/>
      <w:color w:val="auto"/>
      <w:sz w:val="20"/>
      <w:szCs w:val="20"/>
    </w:rPr>
  </w:style>
  <w:style w:type="character" w:customStyle="1" w:styleId="Recuodecorpodetexto3Char">
    <w:name w:val="Recuo de corpo de texto 3 Char"/>
    <w:basedOn w:val="Fontepargpadro"/>
    <w:link w:val="Recuodecorpodetexto3"/>
    <w:rsid w:val="00AE7A8E"/>
    <w:rPr>
      <w:rFonts w:ascii="Arial" w:eastAsia="Times New Roman" w:hAnsi="Arial" w:cs="Arial"/>
      <w:sz w:val="20"/>
      <w:szCs w:val="20"/>
    </w:rPr>
  </w:style>
  <w:style w:type="character" w:customStyle="1" w:styleId="CharChar4">
    <w:name w:val="Char Char4"/>
    <w:basedOn w:val="Fontepargpadro"/>
    <w:semiHidden/>
    <w:rsid w:val="00AE7A8E"/>
  </w:style>
  <w:style w:type="character" w:customStyle="1" w:styleId="CharChar3">
    <w:name w:val="Char Char3"/>
    <w:basedOn w:val="Fontepargpadro"/>
    <w:rsid w:val="00AE7A8E"/>
  </w:style>
  <w:style w:type="character" w:customStyle="1" w:styleId="CharChar2">
    <w:name w:val="Char Char2"/>
    <w:semiHidden/>
    <w:rsid w:val="00AE7A8E"/>
    <w:rPr>
      <w:rFonts w:ascii="Tahoma" w:hAnsi="Tahoma" w:cs="Tahoma"/>
      <w:sz w:val="16"/>
      <w:szCs w:val="16"/>
    </w:rPr>
  </w:style>
  <w:style w:type="character" w:customStyle="1" w:styleId="CharChar1">
    <w:name w:val="Char Char1"/>
    <w:rsid w:val="00AE7A8E"/>
    <w:rPr>
      <w:sz w:val="20"/>
      <w:szCs w:val="20"/>
    </w:rPr>
  </w:style>
  <w:style w:type="character" w:customStyle="1" w:styleId="CharChar">
    <w:name w:val="Char Char"/>
    <w:rsid w:val="00AE7A8E"/>
    <w:rPr>
      <w:rFonts w:ascii="Times New Roman" w:eastAsia="Times New Roman" w:hAnsi="Times New Roman"/>
      <w:sz w:val="24"/>
      <w:szCs w:val="24"/>
    </w:rPr>
  </w:style>
  <w:style w:type="paragraph" w:styleId="Corpodetexto2">
    <w:name w:val="Body Text 2"/>
    <w:basedOn w:val="Normal"/>
    <w:link w:val="Corpodetexto2Char"/>
    <w:uiPriority w:val="99"/>
    <w:unhideWhenUsed/>
    <w:rsid w:val="00AE7A8E"/>
    <w:pPr>
      <w:spacing w:after="120" w:afterAutospacing="1" w:line="480" w:lineRule="auto"/>
      <w:ind w:firstLine="425"/>
      <w:jc w:val="both"/>
    </w:pPr>
    <w:rPr>
      <w:rFonts w:ascii="Calibri" w:eastAsia="Calibri" w:hAnsi="Calibri" w:cs="Times New Roman"/>
      <w:color w:val="auto"/>
      <w:lang w:val="x-none"/>
    </w:rPr>
  </w:style>
  <w:style w:type="character" w:customStyle="1" w:styleId="Corpodetexto2Char">
    <w:name w:val="Corpo de texto 2 Char"/>
    <w:basedOn w:val="Fontepargpadro"/>
    <w:link w:val="Corpodetexto2"/>
    <w:uiPriority w:val="99"/>
    <w:rsid w:val="00AE7A8E"/>
    <w:rPr>
      <w:rFonts w:ascii="Calibri" w:eastAsia="Calibri" w:hAnsi="Calibri" w:cs="Times New Roman"/>
      <w:lang w:val="x-none"/>
    </w:rPr>
  </w:style>
  <w:style w:type="paragraph" w:styleId="Legenda">
    <w:name w:val="caption"/>
    <w:basedOn w:val="Normal"/>
    <w:next w:val="Normal"/>
    <w:qFormat/>
    <w:rsid w:val="00AE7A8E"/>
    <w:pPr>
      <w:suppressAutoHyphens/>
    </w:pPr>
    <w:rPr>
      <w:rFonts w:ascii="Times New Roman" w:eastAsia="Times New Roman" w:hAnsi="Times New Roman" w:cs="Times New Roman"/>
      <w:b/>
      <w:bCs/>
      <w:color w:val="auto"/>
      <w:sz w:val="20"/>
      <w:szCs w:val="20"/>
      <w:lang w:eastAsia="ar-SA"/>
    </w:rPr>
  </w:style>
  <w:style w:type="character" w:customStyle="1" w:styleId="Ttulo3Char">
    <w:name w:val="Título 3 Char"/>
    <w:basedOn w:val="Fontepargpadro"/>
    <w:link w:val="Ttulo3"/>
    <w:uiPriority w:val="9"/>
    <w:semiHidden/>
    <w:rsid w:val="009A1C3E"/>
    <w:rPr>
      <w:rFonts w:asciiTheme="majorHAnsi" w:eastAsiaTheme="majorEastAsia" w:hAnsiTheme="majorHAnsi" w:cstheme="majorBidi"/>
      <w:color w:val="1F4D78" w:themeColor="accent1" w:themeShade="7F"/>
      <w:sz w:val="24"/>
      <w:szCs w:val="24"/>
    </w:rPr>
  </w:style>
  <w:style w:type="table" w:customStyle="1" w:styleId="TableNormal">
    <w:name w:val="Table Normal"/>
    <w:rsid w:val="009A1C3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PadroA">
    <w:name w:val="Padrão A"/>
    <w:rsid w:val="009A1C3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pt-PT" w:eastAsia="pt-BR"/>
    </w:rPr>
  </w:style>
  <w:style w:type="numbering" w:customStyle="1" w:styleId="EstiloImportado3">
    <w:name w:val="Estilo Importado 3"/>
    <w:rsid w:val="009A1C3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tfpr.edu.br/rbe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titutolobo.org.br/imagens/pdf/artigos/art_087.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BE9E-BDE3-46C6-97CD-A35387A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8674</Words>
  <Characters>46840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autor</cp:lastModifiedBy>
  <cp:revision>3</cp:revision>
  <cp:lastPrinted>2016-06-22T17:58:00Z</cp:lastPrinted>
  <dcterms:created xsi:type="dcterms:W3CDTF">2018-07-13T23:26:00Z</dcterms:created>
  <dcterms:modified xsi:type="dcterms:W3CDTF">2018-07-20T21:38:00Z</dcterms:modified>
</cp:coreProperties>
</file>