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jpeg" ContentType="image/jpeg"/>
  <Override PartName="/word/media/image3.png" ContentType="image/png"/>
  <Override PartName="/word/media/image4.jpeg" ContentType="image/jpeg"/>
  <Override PartName="/word/media/image5.jpeg" ContentType="image/jpeg"/>
  <Override PartName="/word/header2.xml" ContentType="application/vnd.openxmlformats-officedocument.wordprocessingml.header+xml"/>
  <Override PartName="/word/footnotes.xml" ContentType="application/vnd.openxmlformats-officedocument.wordprocessingml.footnotes+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_rels/footnotes.xml.rels" ContentType="application/vnd.openxmlformats-package.relationships+xml"/>
  <Override PartName="/word/_rels/header2.xml.rels" ContentType="application/vnd.openxmlformats-package.relationships+xml"/>
  <Override PartName="/word/_rels/foot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tbl>
      <w:tblPr>
        <w:tblStyle w:val="Tabelacomgrade"/>
        <w:tblW w:w="10206" w:type="dxa"/>
        <w:jc w:val="left"/>
        <w:tblInd w:w="0" w:type="dxa"/>
        <w:tblCellMar>
          <w:top w:w="0" w:type="dxa"/>
          <w:left w:w="0" w:type="dxa"/>
          <w:bottom w:w="0" w:type="dxa"/>
          <w:right w:w="0" w:type="dxa"/>
        </w:tblCellMar>
        <w:tblLook w:firstRow="1" w:noVBand="1" w:lastRow="0" w:firstColumn="1" w:lastColumn="0" w:noHBand="0" w:val="04a0"/>
      </w:tblPr>
      <w:tblGrid>
        <w:gridCol w:w="2267"/>
        <w:gridCol w:w="568"/>
        <w:gridCol w:w="7371"/>
      </w:tblGrid>
      <w:tr>
        <w:trPr>
          <w:trHeight w:val="211" w:hRule="atLeast"/>
        </w:trPr>
        <w:tc>
          <w:tcPr>
            <w:tcW w:w="2267" w:type="dxa"/>
            <w:tcBorders>
              <w:top w:val="nil"/>
              <w:left w:val="nil"/>
              <w:bottom w:val="nil"/>
              <w:right w:val="nil"/>
            </w:tcBorders>
          </w:tcPr>
          <w:p>
            <w:pPr>
              <w:pStyle w:val="Normal"/>
              <w:rPr>
                <w:sz w:val="16"/>
                <w:szCs w:val="16"/>
              </w:rPr>
            </w:pPr>
            <w:r>
              <w:rPr>
                <w:sz w:val="16"/>
                <w:szCs w:val="16"/>
              </w:rPr>
            </w:r>
          </w:p>
        </w:tc>
        <w:tc>
          <w:tcPr>
            <w:tcW w:w="568" w:type="dxa"/>
            <w:tcBorders>
              <w:top w:val="nil"/>
              <w:left w:val="nil"/>
              <w:bottom w:val="nil"/>
              <w:right w:val="nil"/>
            </w:tcBorders>
          </w:tcPr>
          <w:p>
            <w:pPr>
              <w:pStyle w:val="Normal"/>
              <w:rPr>
                <w:sz w:val="16"/>
                <w:szCs w:val="16"/>
              </w:rPr>
            </w:pPr>
            <w:r>
              <w:rPr>
                <w:sz w:val="16"/>
                <w:szCs w:val="16"/>
              </w:rPr>
            </w:r>
          </w:p>
        </w:tc>
        <w:tc>
          <w:tcPr>
            <w:tcW w:w="7371" w:type="dxa"/>
            <w:tcBorders>
              <w:top w:val="nil"/>
              <w:left w:val="nil"/>
              <w:bottom w:val="nil"/>
              <w:right w:val="nil"/>
            </w:tcBorders>
            <w:vAlign w:val="center"/>
          </w:tcPr>
          <w:p>
            <w:pPr>
              <w:pStyle w:val="Linkrevista"/>
              <w:rPr/>
            </w:pPr>
            <w:hyperlink r:id="rId2">
              <w:r>
                <w:rPr>
                  <w:rStyle w:val="LinkdaInternet"/>
                  <w:color w:val="0679EE" w:themeColor="hyperlink" w:themeTint="d9"/>
                  <w14:textFill>
                    <w14:solidFill>
                      <w14:schemeClr w14:val="hlink">
                        <w14:lumMod w14:val="85000"/>
                        <w14:lumOff w14:val="15000"/>
                        <w14:lumMod w14:val="85000"/>
                        <w14:lumOff w14:val="15000"/>
                      </w14:schemeClr>
                    </w14:solidFill>
                  </w14:textFill>
                </w:rPr>
                <w:t>https://periodicos.utfpr.edu.br/cgt</w:t>
              </w:r>
            </w:hyperlink>
          </w:p>
        </w:tc>
      </w:tr>
      <w:tr>
        <w:trPr>
          <w:trHeight w:val="1964" w:hRule="atLeast"/>
        </w:trPr>
        <w:tc>
          <w:tcPr>
            <w:tcW w:w="2267" w:type="dxa"/>
            <w:tcBorders>
              <w:top w:val="nil"/>
              <w:left w:val="nil"/>
              <w:bottom w:val="nil"/>
              <w:right w:val="nil"/>
            </w:tcBorders>
          </w:tcPr>
          <w:p>
            <w:pPr>
              <w:pStyle w:val="Normal"/>
              <w:rPr/>
            </w:pPr>
            <w:r>
              <w:rPr/>
            </w:r>
          </w:p>
        </w:tc>
        <w:tc>
          <w:tcPr>
            <w:tcW w:w="568" w:type="dxa"/>
            <w:tcBorders>
              <w:top w:val="nil"/>
              <w:left w:val="nil"/>
              <w:bottom w:val="nil"/>
              <w:right w:val="nil"/>
            </w:tcBorders>
          </w:tcPr>
          <w:p>
            <w:pPr>
              <w:pStyle w:val="Normal"/>
              <w:rPr/>
            </w:pPr>
            <w:r>
              <w:rPr/>
            </w:r>
          </w:p>
        </w:tc>
        <w:tc>
          <w:tcPr>
            <w:tcW w:w="7371" w:type="dxa"/>
            <w:tcBorders>
              <w:top w:val="nil"/>
              <w:left w:val="nil"/>
              <w:bottom w:val="nil"/>
              <w:right w:val="nil"/>
            </w:tcBorders>
            <w:vAlign w:val="center"/>
          </w:tcPr>
          <w:p>
            <w:pPr>
              <w:pStyle w:val="Tituloprincipal"/>
              <w:spacing w:before="480" w:after="240"/>
              <w:rPr/>
            </w:pPr>
            <w:r>
              <w:rPr/>
              <w:t xml:space="preserve">Corpos Trans: longe de serem corpos dóceis </w:t>
            </w:r>
          </w:p>
          <w:p>
            <w:pPr>
              <w:pStyle w:val="Tituloprincipal"/>
              <w:rPr/>
            </w:pPr>
            <w:r>
              <w:rPr/>
            </w:r>
          </w:p>
          <w:p>
            <w:pPr>
              <w:pStyle w:val="Secaoprimcentral"/>
              <w:spacing w:before="480" w:after="240"/>
              <w:jc w:val="center"/>
              <w:rPr/>
            </w:pPr>
            <w:r>
              <w:rPr/>
              <w:t>RESUMO</w:t>
            </w:r>
          </w:p>
        </w:tc>
      </w:tr>
      <w:tr>
        <w:trPr>
          <w:trHeight w:val="6968" w:hRule="atLeast"/>
        </w:trPr>
        <w:tc>
          <w:tcPr>
            <w:tcW w:w="2267" w:type="dxa"/>
            <w:tcBorders>
              <w:top w:val="nil"/>
              <w:left w:val="nil"/>
              <w:bottom w:val="nil"/>
              <w:right w:val="nil"/>
            </w:tcBorders>
          </w:tcPr>
          <w:p>
            <w:pPr>
              <w:pStyle w:val="Afiliacao"/>
              <w:spacing w:before="0" w:after="240"/>
              <w:rPr/>
            </w:pPr>
            <w:r>
              <w:rPr/>
              <w:t>O(s) nome(s) do(s) autor(es) / da(s) autora(s) deverá(ão) ser removido(s) do artigo para revisão anônima</w:t>
            </w:r>
          </w:p>
        </w:tc>
        <w:tc>
          <w:tcPr>
            <w:tcW w:w="568" w:type="dxa"/>
            <w:tcBorders>
              <w:top w:val="nil"/>
              <w:left w:val="nil"/>
              <w:bottom w:val="nil"/>
              <w:right w:val="nil"/>
            </w:tcBorders>
          </w:tcPr>
          <w:p>
            <w:pPr>
              <w:pStyle w:val="Normal"/>
              <w:jc w:val="both"/>
              <w:rPr/>
            </w:pPr>
            <w:r>
              <w:rPr/>
            </w:r>
          </w:p>
        </w:tc>
        <w:tc>
          <w:tcPr>
            <w:tcW w:w="7371" w:type="dxa"/>
            <w:tcBorders>
              <w:top w:val="nil"/>
              <w:left w:val="nil"/>
              <w:bottom w:val="nil"/>
              <w:right w:val="nil"/>
            </w:tcBorders>
          </w:tcPr>
          <w:p>
            <w:pPr>
              <w:pStyle w:val="Resumo"/>
              <w:rPr/>
            </w:pPr>
            <w:r>
              <w:rPr>
                <w:shd w:fill="FFFFFF" w:val="clear"/>
              </w:rPr>
              <w:t xml:space="preserve">Este artigo de caráter ensaístico, tem a pretensão de discutir os corpos trans como desafiadores à norma social hegemônica e construtores de suas próprias existências. Serão feitas problematizações acerca desses corpos que se constituem no âmbito de resistências, com o apoio de duas tecnologias de poder elaboradas por Michel Foucault: disciplinar e biopoder. Até que ponto as técnicas disciplinares docilizam e tornam úteis os corpos trans? Até que ponto as técnicas do biopoder fazem viver vidas trans? E até quando pessoas trans produzirão tecnologias de resistências para fazer valer as suas vivências? As corporalidades trans se recusam a terem suas forças minimizadas politicamente, e fazem isso através de tecnologias de resistência, sendo o corpo a primordial e de gênero fundamental. </w:t>
            </w:r>
          </w:p>
          <w:p>
            <w:pPr>
              <w:pStyle w:val="Resumo"/>
              <w:rPr>
                <w:lang w:val="en-US"/>
              </w:rPr>
            </w:pPr>
            <w:r>
              <w:rPr>
                <w:rStyle w:val="Palavraschave"/>
              </w:rPr>
              <w:t>PALAVRAS-CHAVE:</w:t>
            </w:r>
            <w:r>
              <w:rPr/>
              <w:t xml:space="preserve"> Corpos Trans; Tecnologias de Poder; Tecnologias de Resistência. </w:t>
            </w:r>
          </w:p>
          <w:p>
            <w:pPr>
              <w:pStyle w:val="Resumo"/>
              <w:spacing w:before="0" w:after="120"/>
              <w:ind w:left="5" w:hanging="0"/>
              <w:jc w:val="both"/>
              <w:rPr/>
            </w:pPr>
            <w:r>
              <w:rPr/>
            </w:r>
          </w:p>
        </w:tc>
      </w:tr>
    </w:tbl>
    <w:p>
      <w:pPr>
        <w:pStyle w:val="Normal"/>
        <w:ind w:left="2835" w:hanging="0"/>
        <w:jc w:val="center"/>
        <w:rPr>
          <w:b/>
          <w:b/>
          <w:color w:val="533301"/>
        </w:rPr>
      </w:pPr>
      <w:r>
        <w:rPr>
          <w:b/>
          <w:color w:val="533301"/>
        </w:rPr>
      </w:r>
    </w:p>
    <w:p>
      <w:pPr>
        <w:pStyle w:val="Secaoprimaria"/>
        <w:rPr/>
      </w:pPr>
      <w:r>
        <w:rPr/>
      </w:r>
    </w:p>
    <w:p>
      <w:pPr>
        <w:pStyle w:val="Secaoprimaria"/>
        <w:rPr/>
      </w:pPr>
      <w:r>
        <w:rPr/>
      </w:r>
    </w:p>
    <w:p>
      <w:pPr>
        <w:pStyle w:val="Secaoprimaria"/>
        <w:rPr/>
      </w:pPr>
      <w:r>
        <w:rPr/>
      </w:r>
    </w:p>
    <w:p>
      <w:pPr>
        <w:pStyle w:val="Secaoprimaria"/>
        <w:rPr/>
      </w:pPr>
      <w:r>
        <w:rPr/>
      </w:r>
    </w:p>
    <w:p>
      <w:pPr>
        <w:pStyle w:val="Secaoprimaria"/>
        <w:rPr/>
      </w:pPr>
      <w:r>
        <w:rPr/>
        <w:t xml:space="preserve">INTRODUÇÃO: PALAVRAS INICIAIS </w:t>
      </w:r>
    </w:p>
    <w:p>
      <w:pPr>
        <w:pStyle w:val="Texto"/>
        <w:rPr/>
      </w:pPr>
      <w:r>
        <w:rPr/>
        <w:t xml:space="preserve">       </w:t>
      </w:r>
      <w:r>
        <w:rPr/>
        <w:t xml:space="preserve">A palavra “Trans” aqui empregada, é geralmente usada como prefixo de identidades como: transgênera ou transexual, mas também é inclusiva para pessoas não-binárias (além do binário: homem e mulher), travestis, andróginas, gênero-fluído, agênero, intersexuais e etc. Ser trans é não estar de acordo com a identidade de gênero que lhe foi designada ao nascer por atribuição de um discurso genitalista: em que o sexo determina o gênero. Ou seja, se nasce com um pênis é atribuída a categoria de homem e se nasce com uma vagina é atribuída a categoria de mulher. Ser trans se opõe ao ser cis (abreviação de cisgênera), que correspondem às pessoas que estão em conformidade com o </w:t>
      </w:r>
      <w:r>
        <w:rPr>
          <w:i/>
        </w:rPr>
        <w:t>dispositivo binário de gênero</w:t>
      </w:r>
      <w:r>
        <w:rPr/>
        <w:t xml:space="preserve"> (LANZ, 2017, p. 72). </w:t>
      </w:r>
    </w:p>
    <w:p>
      <w:pPr>
        <w:pStyle w:val="Texto"/>
        <w:rPr/>
      </w:pPr>
      <w:r>
        <w:rPr/>
        <w:t xml:space="preserve">       </w:t>
      </w:r>
      <w:r>
        <w:rPr/>
        <w:t xml:space="preserve">Vivemos em uma sociedade que é organizada de modo binário em relação ao gênero. De modo binário e heteronormativo (heterossexualidade como norma e única forma de expressar a sexualidade). Em outras palavras, a sociedade funciona através de papéis de gênero e sexo determinantes, como: homem-pênis-masculino-heterossexual e mulher-vulva-feminino-heterossexual. É visto como “natural” associar os órgãos genitais ao gênero e com isso, produz-se efeitos na sexualidade. Como se uma coisa levasse a outra. O pênis determina a pessoa a se identificar como homem, que expressa a masculinidade e se relaciona sexualmente e sente atração por mulheres que essas por sua vez, nasceram com vulva, expressam feminilidade e se relacionam de modo heterossexual. Pois bem, esses conjuntos de atributos só são uma das formas de expressar a liberdade sexual e de gênero, porém é a forma privilegiada. </w:t>
      </w:r>
    </w:p>
    <w:p>
      <w:pPr>
        <w:pStyle w:val="Texto"/>
        <w:rPr/>
      </w:pPr>
      <w:r>
        <w:rPr/>
        <w:t xml:space="preserve">       </w:t>
      </w:r>
      <w:r>
        <w:rPr/>
        <w:t xml:space="preserve">Segundo Bento (2017) quando começamos a desconfiar da história heteronormativa como a única, da história oficial da sexualidade e de gênero, logo nos damos conta da grande armadilha em que caímos. Assim, Bento (2017) possibilita abrir fissuras nessa história, ao propor a análise do biopoder. </w:t>
      </w:r>
    </w:p>
    <w:p>
      <w:pPr>
        <w:pStyle w:val="Texto"/>
        <w:rPr/>
      </w:pPr>
      <w:r>
        <w:rPr/>
        <w:t xml:space="preserve">       </w:t>
      </w:r>
      <w:r>
        <w:rPr/>
        <w:t xml:space="preserve">Fugir dessas atribuições e imposições, é ser desviante, é transgredir as normas sociais, sexuais e de gênero. Assim, desse modo, pessoas trans, independentemente da sexualidade, causam transgressões e desestabilizações ao sistema binário de sexo e gênero. Fazem isso através de seus corpos, das suas estéticas, das suas marcas corporais, das suas presenças nos espaços públicos. São corpos que chamam a atenção porque a sociedade normaliza os corpos para serem cis e heterossexuais. Normaliza os corpos para estabelecerem estereótipos de gêneros bem delimitados. Como, por exemplo, a máxima: “homens vestem azul e mulheres vestem rosa”. Um reforço da não existência e ausência, de outras cores, visto que existe uma infinidade de colorações, de tons e texturas, além do azul e do rosa. Existe uma infinidade de maneiras de vivenciar as identidades e expressões de gênero, além do masculino ou feminino. A sociedade normalizadora hegemônica atua para homogeneizar através de várias tecnologias de poder – como gênero e sexo por exemplo – e corpos trans em contrapartida, também utilizam tecnologias, que chamaremos aqui de tecnologias de resistência. </w:t>
      </w:r>
    </w:p>
    <w:p>
      <w:pPr>
        <w:pStyle w:val="Texto"/>
        <w:rPr/>
      </w:pPr>
      <w:r>
        <w:rPr/>
        <w:t xml:space="preserve">       </w:t>
      </w:r>
      <w:r>
        <w:rPr/>
        <w:t xml:space="preserve">Em </w:t>
      </w:r>
      <w:r>
        <w:rPr>
          <w:i/>
          <w:iCs/>
        </w:rPr>
        <w:t xml:space="preserve">Tecnologias de si (1982) </w:t>
      </w:r>
      <w:r>
        <w:rPr/>
        <w:t xml:space="preserve">Foucault apontou que seu objetivo por mais de vinte anos tinha sido de mostrar como que as pessoas adquirem aprendizados sobre elas mesmas na cultura, sendo através da: </w:t>
      </w:r>
      <w:r>
        <w:rPr>
          <w:i/>
          <w:iCs/>
        </w:rPr>
        <w:t>economia, biologia, psiquiatria, medicina e penologia</w:t>
      </w:r>
      <w:r>
        <w:rPr/>
        <w:t xml:space="preserve">. Ele buscou analisar como que as pessoas entendem a si próprias por meios de técnicas específicas. Assim, separou quatro tipos principais de tecnologias: (1) </w:t>
      </w:r>
      <w:r>
        <w:rPr>
          <w:i/>
          <w:iCs/>
        </w:rPr>
        <w:t>tecnologias de produção</w:t>
      </w:r>
      <w:r>
        <w:rPr/>
        <w:t xml:space="preserve"> – produzir as coisas; (2) </w:t>
      </w:r>
      <w:r>
        <w:rPr>
          <w:i/>
          <w:iCs/>
        </w:rPr>
        <w:t xml:space="preserve">tecnologias dos sistemas de signos – </w:t>
      </w:r>
      <w:r>
        <w:rPr/>
        <w:t xml:space="preserve">fazer uso de signos ou significados; (3) </w:t>
      </w:r>
      <w:r>
        <w:rPr>
          <w:i/>
          <w:iCs/>
        </w:rPr>
        <w:t>tecnologias de poder</w:t>
      </w:r>
      <w:r>
        <w:rPr/>
        <w:t xml:space="preserve"> – objetivação e dominação do sujeito; (4) </w:t>
      </w:r>
      <w:r>
        <w:rPr>
          <w:i/>
          <w:iCs/>
        </w:rPr>
        <w:t xml:space="preserve">tecnologias de si – </w:t>
      </w:r>
      <w:r>
        <w:rPr/>
        <w:t xml:space="preserve"> prática de se constituir ou de conseguir chegar até um objetivo através de seus próprios meios. É improvável que essas tecnologias funcionem de modo separado, embora que, segundo Foucault (1982, p. 324) cada uma está associada à certo tipo de dominação. Porém, são as duas últimas tecnologias – de dominação e de si – que chamaram atenção de Foucault. Apesar que, segundo ele, o aprofundamento de seus estudos se deu na tecnologia de dominação/poder. </w:t>
      </w:r>
    </w:p>
    <w:p>
      <w:pPr>
        <w:pStyle w:val="Texto"/>
        <w:rPr/>
      </w:pPr>
      <w:r>
        <w:rPr/>
        <w:t xml:space="preserve">       </w:t>
      </w:r>
      <w:r>
        <w:rPr/>
        <w:t xml:space="preserve">De acordo com Foucault (1987;1998;1999) existiram três tecnologias de poder: soberania, disciplinar e biopoder e, dentre elas, iremos fazer uso das duas últimas, para construir problematizações sobre como esses poderes atuam sobre os corpos trans. Foucault, em suas obras, não escreveu e nem fez menção sobre as corporalidades trans, porém, pensou na sexualidade. Sobre a sexualidade operam tanto o poder disciplinar quanto o biopoder. E, talvez esse seja o gancho para pensar as corporalidades trans nos dias de hoje. </w:t>
      </w:r>
    </w:p>
    <w:p>
      <w:pPr>
        <w:pStyle w:val="Texto"/>
        <w:rPr/>
      </w:pPr>
      <w:r>
        <w:rPr/>
        <w:t xml:space="preserve">        </w:t>
      </w:r>
      <w:r>
        <w:rPr/>
        <w:t>Todes</w:t>
      </w:r>
      <w:r>
        <w:rPr>
          <w:rStyle w:val="Ncoradanotaderodap"/>
          <w:vertAlign w:val="superscript"/>
        </w:rPr>
        <w:footnoteReference w:id="2"/>
      </w:r>
      <w:r>
        <w:rPr/>
        <w:t xml:space="preserve"> nós temos que seguir uma série de regras para sermos socialmente aceites. Corpos trans quebram as regras, quando se trata de gênero, sexo, sexualidade. As regras são quebradas de maneira corporal. As normas impostas para a pessoas trans se “adequarem” passam pelos seus corpos. As múltiplas formas como as pessoas trans reagem a imposições normativas, são pelo corpo, através de tecnologias de resistência. Não entendam mal, não é querer reduzir as pessoas trans aos seus corpos, mas sim, dizer que a primeira e mais importante tecnologia de resistência, é o corpo. </w:t>
      </w:r>
    </w:p>
    <w:p>
      <w:pPr>
        <w:pStyle w:val="Secaoprimaria"/>
        <w:rPr/>
      </w:pPr>
      <w:r>
        <w:rPr/>
        <w:t xml:space="preserve">DA SOBERANIA À TECNOLOGIA DISCIPLINAR: DOCILIZAR PARA UTILIZAR </w:t>
      </w:r>
    </w:p>
    <w:p>
      <w:pPr>
        <w:pStyle w:val="Texto"/>
        <w:rPr/>
      </w:pPr>
      <w:r>
        <w:rPr/>
        <w:t xml:space="preserve">       </w:t>
      </w:r>
      <w:r>
        <w:rPr/>
        <w:t xml:space="preserve">O poder soberano era o poder da monarquia feudal (FOUCAULT, 1998, p. 187). Era o poder que se exercia sobre o território, a terra e os produtos da terra, deixando de lado os corpos. A soberania constituía o poderio absoluto do soberano. Essa teoria clássica, funcionava através do direito de vida e de morte. As formas de punição eram por vias da tortura, do sofrimento físico, da violência explícita como exemplo de condenação. Segundo Foucault (2005) dizer que a soberania tem o direito de vida e de morte, significa que, se pode fazer morrer e deixar viver. O fazer morrer e o deixar viver, funcionavam de maneira assimétrica, porém, ao lado da morte, pois o direito do soberano sobre a vida só era exercido no momento em que ele poderia matar (FOUCAULT, 2005, p. 286). </w:t>
      </w:r>
    </w:p>
    <w:p>
      <w:pPr>
        <w:pStyle w:val="Texto"/>
        <w:rPr/>
      </w:pPr>
      <w:r>
        <w:rPr/>
        <w:t xml:space="preserve">       </w:t>
      </w:r>
      <w:r>
        <w:rPr/>
        <w:t xml:space="preserve">Em meados do século XVII e início do século XVIII, surge um novo direito, esse de maneira contrária ao poder antecessor, surge o direito de fazer viver e de deixar morrer (FOUCAULT, 2005, p. 287). O poder agora age sobre os corpos individuais, o corpo agora é um espaço de poder. O objetivo consiste em sugar dos corpos, o tempo e o trabalho. Esse mecanismo funciona de maneira contínua por meio da vigilância. Causar dores físicas já não são mais elementos que determinam a pena, o suplício tornou-se intolerável, os processos de dominação se dão agora com a suspensão de direitos, a redução de pequenas liberdades. Para Foucault (2005, p. 43) esse novo poder foi um dos instrumentos fundamentais da implantação do capitalismo industrial e do tipo de sociedade que lhe é correlativo. A nova tecnologia, que não é soberana, se trata da “disciplinar”.  </w:t>
      </w:r>
    </w:p>
    <w:p>
      <w:pPr>
        <w:pStyle w:val="Texto"/>
        <w:rPr/>
      </w:pPr>
      <w:r>
        <w:rPr/>
        <w:t xml:space="preserve">       </w:t>
      </w:r>
      <w:r>
        <w:rPr/>
        <w:t xml:space="preserve">A disciplina controla os corpos e os tornam “dóceis” para serem “uteis”. Segundo Foucault (1987), um corpo dócil é um corpo que poder ser dominado, subjugado, modificado, aprimorado, etc. O corpo está amarrado, restrito a uma série de proibições ou obrigações. O controle minucioso das operações do corpo, que realizam a sujeição constante de suas forças e lhes impõem uma relação de docilidade-utilidade, são o que podemos chamar as “disciplinas” (FOUCAULT, 1987, p. 118). As disciplinas não cuidam do corpo, mas sim, buscam trabalha-lo pelo detalhe, controlam os movimentos, os gestos, os comportamentos, transformam o corpo para ser ativo. Estabelecessem uma relação em que tornam o corpo mais obediente quanto mais útil. Assim, o corpo humano, se insere numa maquinaria de poder que o esquadrinha, o desarticula e o recompõe (FOUCAULT, 1987, p. 119). O poder disciplinar confecciona corpos para serem submissos, para serem dóceis. O corpo não é mais descartado, ele é controlado e docilizado. A disciplina amplifica as forças produtivas, em se tratando de aspectos da economia, torna o corpo ativo economicamente, porém diminui as mesmas em aspectos políticos de submissão, torna o corpo passivo politicamente. Controla os corpos e o desejo de revolta. Segundo Foucault (1987) a disciplina dissocia o poder do corpo e “faz dele por um lado uma “aptidão”, uma “capacidade” que ela procura aumentar; e inverte por outro lado a energia, a potência que poderia resultar disso, e faz dela uma relação de sujeição estrita”. (FOUCAULT, 1987, p.  119). </w:t>
      </w:r>
    </w:p>
    <w:p>
      <w:pPr>
        <w:pStyle w:val="Texto"/>
        <w:rPr/>
      </w:pPr>
      <w:r>
        <w:rPr/>
        <w:t xml:space="preserve">       </w:t>
      </w:r>
      <w:r>
        <w:rPr/>
        <w:t xml:space="preserve">O poder disciplinar vai operar nas instituições, como: a escola, a fábrica, a prisão, o hospital etc. Vai ser exercido por meio de quatro técnicas de individualidade, que Foucault (1987) denominou de: 1) A arte das distribuições: o quadriculamento, a distribuição do espaço. Cada pessoa tem o seu lugar. Organiza as “cercas”, as “celas”, “lugares” e as “fileiras”.  Tem o intuito de transformar as multidões confusas, inúteis ou perigosas em multiplicidades organizadas (FOCAULT, 1987, p. 127). 2) O controle das atividades: o controle do horário, do tempo. O objetivo é manter uma qualidade do tempo, um tempo inteiramente útil. 3) A organização das gêneses: a ordem de tudo passa pelo corpo, o tempo é acumulado. 4) A composição das forças: o corpo como um aparato eficiente, se constitui como uma peça de uma máquina multissegmentada (FOUCAULT, 1987, p. 139). A disciplina exerce seu poder no corpo individual. Para tanto, na terceira parte do capítulo dois de Vigiar e Punir (1987), denominada de: os recursos para um bom adestramento, Foucault afirma que o mecanismo disciplinar, tem como função máxima de “adestrar”. Esse poder não prende as forças para depois diminuí-las, mas sim, busca unifica-las para depois serem multiplicadas e utilizadas integralmente. A disciplina esquadrinha, analisa, distingue, leva seus processos de decomposição até as singularidades necessárias e suficientes (FOUCAULT, 1987, p. 143). Se faz necessário um adestramento das “multidões confusas”, movediças, ineficientes. Segundo Foucault (1987) a disciplina “fabrica” indivíduos, é a técnica de um poder que toma os indivíduos simultaneamente como objetos e como instrumentos de seu funcionamento. </w:t>
      </w:r>
    </w:p>
    <w:p>
      <w:pPr>
        <w:pStyle w:val="Texto"/>
        <w:rPr/>
      </w:pPr>
      <w:r>
        <w:rPr/>
        <w:t xml:space="preserve">       </w:t>
      </w:r>
      <w:r>
        <w:rPr/>
        <w:t xml:space="preserve">O êxito do exercício do poder disciplinar é em consequência da utilização de três mecanismos: 1) o olhar hierárquico: vigilância em todas as partes; 2) a sanção normalizadora: uma eterna punição exercida nas instituições que tem o propósito de comparar, distinguir hierarquizar, homogeneizar e excluir. De outro modo: ela normaliza; 3) o exame: a combinação do primeiro mecanismo, que vigia e o segundo mecanismo que normaliza. O exame faz do poder disciplinar um mecanismo de exercício invisível. Ocupa o corpo de modo dissimulado e silencioso. Torna o indivíduo como um “caso”: que ao mesmo tempo constitui um objeto para o conhecimento e uma tomada para o poder e é também o indivíduo que tem que ser treinado ou retreinado, tem que ser classificado, normalizado, excluído, etc (FOUCAULT, 1987, p. 154). </w:t>
      </w:r>
    </w:p>
    <w:p>
      <w:pPr>
        <w:pStyle w:val="Texto"/>
        <w:rPr/>
      </w:pPr>
      <w:r>
        <w:rPr/>
        <w:t xml:space="preserve">         </w:t>
      </w:r>
      <w:r>
        <w:rPr/>
        <w:t>A escola é uma das instituições que mais normaliza indivíduos, perpetua códigos identitários hegemônicos, perpetua estereótipos de gêneros no limite da binariedade. Como pode a escola normalizar pessoas trans, através da disciplina? Como transformar multidões “confusas” em multidões “organizadas”? O processo é feito através, da exclusão. Excluir para incluir. Será? A exclusão para a pessoa trans não é uma punição ou penalidade que fará com que ela “reveja” o seu comportamento e se “adeque” aos demais da turma e volte a concluir as suas práticas escolares com exatidão. A exclusão é uma sentença. Não é o fato de “ensinar” a pessoa trans que ela não deve se “portar” de um jeito, de não vestir tal roupa, de não exigir ser chamada de outra forma, com outro pronome. É saber que se ela não puder ser ela mesma, em um espaço educativo, de aprendizagem, que acolhe, ela não pode existir. Ela não pode se fazer presente nesse espaço. Segundo a matéria postada no dia 29 de janeiro (dia da visibilidade trans comemorada no Brasil) de 2019 no site da CPERS</w:t>
      </w:r>
      <w:r>
        <w:rPr>
          <w:rStyle w:val="Ncoradanotaderodap"/>
          <w:vertAlign w:val="superscript"/>
        </w:rPr>
        <w:footnoteReference w:id="3"/>
      </w:r>
      <w:r>
        <w:rPr/>
        <w:t xml:space="preserve"> (centro dos professores do estado do rio grande do sul), foi feita uma pesquisa pela Comissão de Diversidade Sexual da Ordem dos Advogados do Brasil (CEDS/OAB), a qual apresenta que a estimativa de evasão escolar de pessoas trans é de 82%, é uma porcentagem preocupante e denota uma despreocupação das autoridades brasileiras com a comunidade trans, que está sujeita a vulnerabilidade e exclusões de todos os tipos.  Assim agem os mecanismos do poder disciplinar perante os corpos trans: o olhar hierárquico age vigiando tudo e todes e recai sobre os corpos trans, que destoem do restante; a sanção normalizadora age comparando, hierarquizando e punindo os “diferentes”, que insistem em não se homogeneizar. Por fim, os exclui. </w:t>
      </w:r>
    </w:p>
    <w:p>
      <w:pPr>
        <w:pStyle w:val="Texto"/>
        <w:rPr/>
      </w:pPr>
      <w:r>
        <w:rPr/>
        <w:t xml:space="preserve">      </w:t>
      </w:r>
      <w:r>
        <w:rPr/>
        <w:t>Segundo Louro (2004) pessoas que transgridem as normas em relação ao corpo e os papéis de gênero, vivem perigosamente e, estão expostas a sanções, reformas e exclusões. A exclusão perpassa a pessoa trans por toda a vida. Seja, nas instituições escolares e de ensino, pela família, pelos hospitais, pelo trabalho formal etc. Restam assim, vias de sobrevivência quando não se tem apoio por outros meios, sendo que a prostituição é a principal delas.</w:t>
      </w:r>
    </w:p>
    <w:p>
      <w:pPr>
        <w:pStyle w:val="Texto"/>
        <w:rPr/>
      </w:pPr>
      <w:r>
        <w:rPr/>
        <w:t xml:space="preserve">       </w:t>
      </w:r>
      <w:r>
        <w:rPr/>
        <w:t xml:space="preserve">Assim, a disciplina é um poder que adestra os corpos individuais, transforma-os em dóceis, já que, uma vez tendo seus corpos docilizados por meio de técnicas disciplinares constantes, indivíduos se tornariam úteis e submissos ao sistema que se impõe, contribuindo para o equilíbrio e a ordem social. As pessoas trans desequilibram dessa ordem social, não são corpos que se submetem a docilização das técnicas disciplinares, e isso faz com que não sejam “úteis”. Não tendo seus corpos utilizados para estarem nas escolas, estarem com frequência em hospitais e em trabalhos formais, o corpo passa a ser “descartado”. A salvo de um dos únicos mecanismos de sobrevivência, como já mencionado antes, a prostituição. Segundo dados levantados pela ANTRA (2020, p. 31) somente 4% da população trans estão em empregos formais, e 6% se encontram em atividades informais e subempregos, restando 90%, que estão na prostituição e sendo sua única fonte de renda. </w:t>
      </w:r>
    </w:p>
    <w:p>
      <w:pPr>
        <w:pStyle w:val="Texto"/>
        <w:rPr/>
      </w:pPr>
      <w:r>
        <w:rPr/>
        <w:t xml:space="preserve">       </w:t>
      </w:r>
      <w:r>
        <w:rPr/>
        <w:t>Portanto, a disciplina estabelece que cada indivíduo se encontre preso numa universalidade punível-punidora (FOUCAULT, 1987, p. 149). Corpos trans vivem uma distopia</w:t>
      </w:r>
      <w:r>
        <w:rPr>
          <w:rStyle w:val="Ncoradanotaderodap"/>
          <w:vertAlign w:val="superscript"/>
        </w:rPr>
        <w:footnoteReference w:id="4"/>
      </w:r>
      <w:r>
        <w:rPr/>
        <w:t xml:space="preserve"> constante, recusando-se a serem docilizades, a serem disciplinades no âmbito da norma hegemônica. Mesmo os corpos que apresentam passabilidade cis, que são vistos como cis, não estão docilizades, pois a resistência já foi feita no momento que conseguiram adquirir essa “passabilidade”, mas não se enganem, todas as corporalidades trans convivem com a transfobia, sendo passável ou não, são corpos que transgridem. Deslegitimar as vivências trans alegando que reforçam “estereótipos de gênero”, logo, é dizer que é dito como natural que pessoas cis podem reforçar os estereótipos de gênero porque são cis, já pessoas trans não. As corporalidades trans são diversas e as suas reproduções e expressões de gênero também são. Porém quando a mídia dá visibilidade a algumas dessas corporalidades, a que sempre aparecem é dita como "estereotipada", pessoas que já fizeram as cirurgias e os processos de hormonização e apresentam uma passabilidade cis, que muitas vezes, são pessoas que tiveram oportunidades e estão inseridas em classes médias ou mais altas e são brancas. Os fatores da visibilidade são determinados pela classe e pela raça. Já pararam para pensar que talvez seguir "os estereótipos de gênero" seja uma resistência de sobrevivência da população trans? Mas não se enganem, nem todas as pessoas trans seguem à risca esses estereótipos, isso porque suas vidas não são visíveis, então como dizer que corpos trans heteronormativos ou com a estética heteronormativa, reforçam aos “papéis de gênero binários?”. Porém a visibilidade cis é privilegiada, então porque essas vivências cis não comecem a rever suas reproduções e suas performances de gênero?  </w:t>
      </w:r>
    </w:p>
    <w:p>
      <w:pPr>
        <w:pStyle w:val="Texto"/>
        <w:rPr/>
      </w:pPr>
      <w:r>
        <w:rPr/>
        <w:t xml:space="preserve">       </w:t>
      </w:r>
      <w:r>
        <w:rPr/>
        <w:t>Mesmo corpos trans  reproduzindo os tais "estereótipos de gênero", reproduzem com nuances diferentes: uma porque essa estética lhe foi negada a vida toda por conta da genitália; outra porque reproduzem por simples fato de não querer "matar um leão por dia", pela sobrevivência; e outras pessoas trans reproduzem porque querem, são diversos os significados das reproduções de gênero nas vidas trans, já nas pessoas cis que reproduzem a heteronormatividade, não podemos dizer o mesmo.</w:t>
      </w:r>
    </w:p>
    <w:p>
      <w:pPr>
        <w:pStyle w:val="Texto"/>
        <w:rPr/>
      </w:pPr>
      <w:r>
        <w:rPr/>
        <w:t xml:space="preserve">       </w:t>
      </w:r>
      <w:r>
        <w:rPr/>
        <w:t xml:space="preserve">Segundo Foucault (1987) é preciso deixar de assimilar o poder como negativo, na verdade o poder produz. E as tecnologias de poder, além de corpos docilizados e assujeitados à norma hegemônica, também produzem transfobia, e os corpos trans, através de tecnologias de resistência, produzem as suas existências. </w:t>
      </w:r>
    </w:p>
    <w:p>
      <w:pPr>
        <w:pStyle w:val="Secaoprimaria"/>
        <w:rPr/>
      </w:pPr>
      <w:r>
        <w:rPr/>
        <w:t xml:space="preserve">BIOPODER E O RACISMO DE ESTADO: VIDAS TRANS IMPORTAM? </w:t>
      </w:r>
    </w:p>
    <w:p>
      <w:pPr>
        <w:pStyle w:val="Texto"/>
        <w:rPr/>
      </w:pPr>
      <w:r>
        <w:rPr/>
        <w:t xml:space="preserve">Durante os séculos XVII e XVIII surgiram as primeiras técnicas de poder dirigidas ao corpo individual. Na segunda metade do século XVIII, ocorre novamente o aparecimento de uma nova tecnologia de poder, porém, não é de caráter disciplinar. Essa nova tecnologia conforme Foucault (2005) não descarta a anterior, são sobrepostas, e também não descarta as suas técnicas disciplinares. Mas sim, as encaixam; e as modificam parcialmente, pois irá utilizá-las introduzindo de certa maneira nela mesma (FOUCAUL, 2005, p. 288), pois só vai se instalar, de fato, através da disciplina. </w:t>
      </w:r>
    </w:p>
    <w:p>
      <w:pPr>
        <w:pStyle w:val="Texto"/>
        <w:rPr/>
      </w:pPr>
      <w:r>
        <w:rPr/>
        <w:t xml:space="preserve">       </w:t>
      </w:r>
      <w:r>
        <w:rPr/>
        <w:t xml:space="preserve">A nova tecnologia não age sobre o corpo individual, mas sim, sobre o corpo-vivo ou corpo-espécie. Não irá exercer poder em corpos-indivíduos em forma de monitoramento, vigia, adestramento e, ocasionalmente, aplicar penalidades. Todavia, irá se ocupar da multiplicidade de indivíduos enquanto, uma massa global (FOUCAULT, 2005, p. 289), atingida por elementos que são próprios da vida, tais como: o nascimento, a produção, a doença, etc. Portanto, aparece agora, uma outra mecânica de poder, que não age na individualidade, mas sim na massificação, em direção ao corpo como espécie. Na tecnologia disciplinar acontecia uma anátomo-política do corpo humano. E com essa nova técnica do poder, Foucault (2005, p. 289) chamou de “biopolítica” da espécie humana.  Logo, os problemas tratados por essa biopolítica correspondem a uma escala maior: a fecundidade, a morbidade, a natalidade, os acidentes, as enfermidades, as anomalias e etc. Desse modo, as técnicas biopolíticas lidam com a população como problema político, biológico e de poder. Vão agir sobre as eventualidades imprevistas que aconteceram na população encaradas em sua longevidade. Vão introduzir artifícios, como:  </w:t>
      </w:r>
      <w:r>
        <w:rPr>
          <w:i/>
          <w:iCs/>
        </w:rPr>
        <w:t xml:space="preserve">previsões, de estimativas estatísticas, de medições globais e vai ser preciso modificar, baixar a morbidade, vai ser preciso encompridar a vida, vai ser preciso estimular a natalidade </w:t>
      </w:r>
      <w:r>
        <w:rPr/>
        <w:t xml:space="preserve">(FOUCAULT, 2005, p. 293). Assim, a vida vai ser levada em conta. Não mais como uma disciplina, mas como, segundo Foucault (2005), uma regulamentação. Desse modo, age a tecnologia do biopoder, sobre a população, de modo contínuo, uma tecnologia que “faz viver”, uma regulamentação que se expressa no “fazer viver e deixar morrer” (FOUCAULT, 2005, p. 294). </w:t>
      </w:r>
    </w:p>
    <w:p>
      <w:pPr>
        <w:pStyle w:val="Texto"/>
        <w:rPr/>
      </w:pPr>
      <w:r>
        <w:rPr/>
        <w:t xml:space="preserve">       </w:t>
      </w:r>
      <w:r>
        <w:rPr/>
        <w:t xml:space="preserve">Como já mencionado antes, tanto o poder disciplinar quanto o biopoder agem sobre a sexualidade, e essas duas tecnologias de poder, uma que é disciplinadora do corpo e outra que é regulamentadora da população, são articuladas uma com a outra (FOUCAULT, 2005, p. 299). Na disciplina a sexualidade foi posta em análise, segundo Foucault (2005), através do: </w:t>
      </w:r>
    </w:p>
    <w:p>
      <w:pPr>
        <w:pStyle w:val="Texto"/>
        <w:rPr/>
      </w:pPr>
      <w:r>
        <w:rPr/>
        <w:t xml:space="preserve">[...] comportamento exatamente corporal, que depende de um controle disciplinar, individualizante, em forma de vigilância permanente. No âmbito do biopoder, a sexualidade se insere e adquire efeito, por seus efeitos procriadores, em processos biológicos amplos que concernem não mais ao corpo do indivíduo, mas a esse elemento, a essa unidade múltipla constituída pela população (FOUCAULT, 2005, p. 300). </w:t>
      </w:r>
    </w:p>
    <w:p>
      <w:pPr>
        <w:pStyle w:val="Texto"/>
        <w:rPr/>
      </w:pPr>
      <w:r>
        <w:rPr/>
        <w:t xml:space="preserve">       </w:t>
      </w:r>
      <w:r>
        <w:rPr/>
        <w:t xml:space="preserve">Assim, a sexualidade se encontra atravessada pelo corpo e pela população. É dependente do poder disciplinar tanto quanto do biopoder. Um componente que está em estado de órbita entre a disciplina e a regulamentação e que se aplica tanto em uma quanto na outra, que se aplica ao corpo e à vida, que controla, segundo Foucault (2005, p. 300), tanto a ordem disciplinar do corpo quanto a multiplicidade biológica da população, é a “norma”. Posto isso, a sociedade normalizadora é uma sociedade que enlaça a norma disciplinadora e a norma regulamentadora. </w:t>
      </w:r>
    </w:p>
    <w:p>
      <w:pPr>
        <w:pStyle w:val="Texto"/>
        <w:rPr/>
      </w:pPr>
      <w:r>
        <w:rPr/>
        <w:t xml:space="preserve">       </w:t>
      </w:r>
      <w:r>
        <w:rPr/>
        <w:t xml:space="preserve">O biopoder, é um poder que age tanto na vida quanto no corpo. Tem por objeto e por objetivo a vida, porém, apresenta um paradoxo: se a morte está no privado e o propósito é encompridar a vida da população, como é possível executar o direito de matar? </w:t>
      </w:r>
      <w:r>
        <w:rPr>
          <w:i/>
          <w:iCs/>
        </w:rPr>
        <w:t>Como exercer o poder da morte, como exercer a função da morte, num sistema político centrado no biopoder?</w:t>
      </w:r>
      <w:r>
        <w:rPr/>
        <w:t xml:space="preserve"> (FOUCAULT, 2005, p. 304) Segundo Foucault, o direito de matar só possível por meio do racismo. O racismo é uma emergência do biopoder, que logo o insere nos mecanismos do Estado. Assim, que racismo é esse? </w:t>
      </w:r>
    </w:p>
    <w:p>
      <w:pPr>
        <w:pStyle w:val="Texto"/>
        <w:rPr/>
      </w:pPr>
      <w:r>
        <w:rPr/>
        <w:t xml:space="preserve">É, primeiro, o meio de introduzir afinal, nesse domínio da vida de que o poder se incumbiu, um corte: o corte entre o que deve viver e o que deve morrer. No continuo biológico da espécie humana, o aparecimento das raças, a distinção das raças como boas e de outras, ao contrário, como inferiores, tudo isso vai ser uma maneira de fragmentar esse campo do biológico de que o poder se incumbiu; uma maneira de defasar, no interior da população, uns grupos em relação aos outros. Em resumo, de estabelecer uma cesura que será do tipo biológico no interior de um domínio considerado como sendo precisamente um domínio (304) biológico (FOUCAULT, 2005, p. 304-305). </w:t>
      </w:r>
    </w:p>
    <w:p>
      <w:pPr>
        <w:pStyle w:val="Texto"/>
        <w:rPr/>
      </w:pPr>
      <w:r>
        <w:rPr/>
        <w:t xml:space="preserve">       </w:t>
      </w:r>
      <w:r>
        <w:rPr/>
        <w:t xml:space="preserve">Portanto, a primeira funcionalidade do racismo é de fragmentar através do contínuo biológico do biopoder. De outra forma, segundo Foucault (2005) o racismo atua de maneira “positiva”, através da relação guerreira (“para viver, é preciso que você massacre seus inimigos”) o racismo funciona. De outra maneira, o racismo determina, entre uma vida e outra, através de uma relação biológica: </w:t>
      </w:r>
      <w:r>
        <w:rPr>
          <w:i/>
          <w:iCs/>
        </w:rPr>
        <w:t>“quanto mais as espécies inferiores tenderem a desaparecer, quanto mais o indivíduos anormais forem eliminados, menos degenerados haverá em relação à espécie, mais eu viverei, mais forte serei (...) mais poderei proliferar”</w:t>
      </w:r>
      <w:r>
        <w:rPr/>
        <w:t xml:space="preserve"> (FOUCAULT, 2005, 305). E a relação que o racismo estabelece no biopoder, conforme Foucault (2005) é a relação biológica. A condição assassina do Estado de matar, no âmbito do biopoder, só é possível pelo racismo. Se a sociedade normalizadora e o poder de normalização querem que funcione o direito do gládio, o direito de matar, na contemporaneidade, esse direito só é assegurado pelo racismo. </w:t>
      </w:r>
      <w:r>
        <w:rPr>
          <w:i/>
          <w:iCs/>
        </w:rPr>
        <w:t>Portanto, o racismo é ligado ao funcionamento de um Estado que é obrigado a utilizar a raça, a eliminação das raças e a purificação da raça para exercer seu poder soberano</w:t>
      </w:r>
      <w:r>
        <w:rPr/>
        <w:t xml:space="preserve"> (FOUCAULT, 2005, p. 309). O racismo de estado é o mecanismo que a sociedade normalizadora exerce em si mesma, com seus próprios meios de produção. </w:t>
      </w:r>
    </w:p>
    <w:p>
      <w:pPr>
        <w:pStyle w:val="Texto"/>
        <w:rPr/>
      </w:pPr>
      <w:r>
        <w:rPr/>
        <w:t xml:space="preserve">       </w:t>
      </w:r>
      <w:r>
        <w:rPr/>
        <w:t xml:space="preserve">Foucault (2005, p. 309) então, afirma que os Estados mais assassinos são na mesma medida os mais racistas. E assim, contínua o paradoxo do biopoder: como é possível exercer a função da guerra, a função da morte, senão passando pelo racismo? </w:t>
      </w:r>
    </w:p>
    <w:p>
      <w:pPr>
        <w:pStyle w:val="Texto"/>
        <w:rPr/>
      </w:pPr>
      <w:r>
        <w:rPr/>
        <w:t xml:space="preserve">       </w:t>
      </w:r>
      <w:r>
        <w:rPr/>
        <w:t>O Brasil é o país que mais mata pessoas trans no mundo, segundo a ANTRA (2020, p. 08) lidera, em 1º lugar, o ranking dos assassinatos durante os últimos 10 anos. No ano de 2019, foram registrados 124 assassinatos.  Conforme o levantamento de dados inéditos em 2019 pela ANTRA (2020) sobre uma pesquisa realizada por ocasião do mês</w:t>
      </w:r>
      <w:r>
        <w:rPr>
          <w:rStyle w:val="Ncoradanotaderodap"/>
          <w:vertAlign w:val="superscript"/>
        </w:rPr>
        <w:footnoteReference w:id="5"/>
      </w:r>
      <w:r>
        <w:rPr/>
        <w:t xml:space="preserve"> de enfrentamento da LGBTIfobia em âmbito internacional, 99% das pessoas LGBTI que contribuíram com a pesquisa, afirmaram não se sentirem seguras no país.  Em uma reportagem realizada pelo site Gênero e número</w:t>
      </w:r>
      <w:r>
        <w:rPr>
          <w:rStyle w:val="Ncoradanotaderodap"/>
          <w:vertAlign w:val="superscript"/>
        </w:rPr>
        <w:footnoteReference w:id="6"/>
      </w:r>
      <w:r>
        <w:rPr/>
        <w:t xml:space="preserve"> (2019) através de dados do Ministério da Saúde, constou que no de 2017, em média 11 pessoas trans foram agredidas por dia. No dia 13 de junho de 2019, o STF (SUPREMO TRIBUNAL FEDERAL) finalmente reconhece a transfobia como racismo, e aprova a sua criminalização por meio da inclusão na lei do racismo </w:t>
      </w:r>
      <w:r>
        <w:rPr>
          <w:u w:val="single"/>
        </w:rPr>
        <w:t>7716/89</w:t>
      </w:r>
      <w:r>
        <w:rPr>
          <w:rStyle w:val="Ncoradanotaderodap"/>
          <w:u w:val="single"/>
          <w:vertAlign w:val="superscript"/>
        </w:rPr>
        <w:footnoteReference w:id="7"/>
      </w:r>
      <w:r>
        <w:rPr/>
        <w:t xml:space="preserve">. </w:t>
      </w:r>
    </w:p>
    <w:p>
      <w:pPr>
        <w:pStyle w:val="Texto"/>
        <w:rPr/>
      </w:pPr>
      <w:r>
        <w:rPr/>
        <w:t xml:space="preserve">       </w:t>
      </w:r>
      <w:r>
        <w:rPr/>
        <w:t xml:space="preserve">Conforme dados da ANTRA (2020, p. 34), em 2019, dentre as pessoas trans, as que mais morrem e correm o risco máximo de agressões e assassinato, são as pessoas pretas, sendo 82% dos casos identificados como sendo de pessoas pretas e pardas, 17% brancas e 1% sem identificação. Todas as pessoas trans estão sujeitas a distintas formas de repressões e violências de todos os tipos, em decorrência da transfobia, em determinação da normativa social hegemônica, em determinação de uma sociedade normalizadora que contribui para a propagação de crimes de ódio contra outras pessoas, por estas não se assujeitarem às restritas categorias de gênero e sexo, por terem feitos modificações corporais, por terem construído o seu gênero e sexo da forma que bem entendem, por terem relações com outras pessoas independentemente da lógica binária hegemônica, por se mostrarem em público do jeito que querem. Porém, quando são acrescidos outros marcadores sociais, além da transfobia, ocorre uma maximização da violência. </w:t>
      </w:r>
    </w:p>
    <w:p>
      <w:pPr>
        <w:pStyle w:val="Texto"/>
        <w:rPr/>
      </w:pPr>
      <w:r>
        <w:rPr/>
        <w:t xml:space="preserve">       </w:t>
      </w:r>
      <w:r>
        <w:rPr/>
        <w:t xml:space="preserve">As raças ditas inferiores sofrem múltiplas intervenções. Como por exemplo: se encaixar ao sistema social normalizador e conservador, com o intuito de se camuflar, sair das fronteiras, da margem, para entrarem no meio, dentro e andar entre, sem chamar atenção indesejada. Pois quem chama – a dita invisibilidade visível –, está com a vida regulada de morte e exclusão. Mesmo pessoas trans se enquadrando ao sistema binário por vias da heteronormatividade, a raça dita superior mesmo assim prolifera e é preservada. Pois seus códigos de representações de gênero são estabelecidos por corpos trans que seguem os “estereótipos de gênero” para poderem ter o mínimo de dignidade ou sobreviverem. As identidades clandestinas ou subordinadas nada afetam as identidades hegemônicas. Conforme Foucault (2009) talvez, o objetivo hoje em dia não seja descobrir o que somos, mas recusar o que somos. E recusar o que somos, é problematizar as nossas vivências, enxergar o corpo, se ver, quebrar com os paradigmas normativos que nos impõem regras nas quais não precisamos seguir. Pessoas trans morrem todos os dias por conta de não ter assistências de saúde adequadas, por não ter acesso a uma educação que respeite suas vivências, por não ter condições dignas de trabalho, pelas leis ainda terem um descaso com as suas vidas, pelas estatísticas não registrarem as suas mortes. Para Bento (2017) os corpos trans apresentam diferenças insuportáveis para um contexto marcado pela hegemonia dos discursos que definem os sujeitos por suas genitálias. Os corpos trans seriam a própria materialidade da impossibilidade de assimilação. De acordo com Bento (2017), de forma geral, os assassinatos da população trans são contabilizados equivocadamente e classificados como assassinatos contra lésbicas e gays. São contabilizados como tidos como corpos cisgêneros. Sofrem transfobia até na morte. Esse tipo de violência é denominada por Bento (2017) como violência de gênero. </w:t>
      </w:r>
    </w:p>
    <w:p>
      <w:pPr>
        <w:pStyle w:val="Texto"/>
        <w:rPr/>
      </w:pPr>
      <w:r>
        <w:rPr/>
        <w:t xml:space="preserve">         </w:t>
      </w:r>
      <w:r>
        <w:rPr/>
        <w:t>Pessoas trans também passam pela exclusão social ao enfrentarem dificuldades na busca por atendimento nos hospitais e unidades públicas de saúde pela transfobia que sofrem atrelada à discriminação por outros marcadores sociais como: pobreza, raça, aparência física etc. Uma pequena parcela da comunidade trans tem acesso as informações sobre saúde e políticas públicas. Grande parte não tem tempo para cuidar ou pensar na saúde. O sistema de saúde ainda é precário, fazendo com que deixem de ir nas unidades hospitalares e se automediquem. Isso implica em graves danos corporais e à saúde mental, que podem levar ao suicídio. A partir do ano de 2008, com a publicação da Portaria nº 457</w:t>
      </w:r>
      <w:r>
        <w:rPr>
          <w:rStyle w:val="Ncoradanotaderodap"/>
          <w:u w:val="single"/>
          <w:vertAlign w:val="superscript"/>
        </w:rPr>
        <w:footnoteReference w:id="8"/>
      </w:r>
      <w:r>
        <w:rPr/>
        <w:t xml:space="preserve">, pessoas trans possuem acesso aos procedimentos para garantir a cirurgia de transgenitalização (mais conhecida como “readequação de sexo”), pelo Sistema Único de Saúde (SUS). E em 2013, surgiu </w:t>
      </w:r>
      <w:r>
        <w:rPr>
          <w:u w:val="single"/>
        </w:rPr>
        <w:t>P</w:t>
      </w:r>
      <w:r>
        <w:rPr/>
        <w:t>ortaria nº 2.803</w:t>
      </w:r>
      <w:r>
        <w:rPr>
          <w:rStyle w:val="Ncoradanotaderodap"/>
          <w:vertAlign w:val="superscript"/>
        </w:rPr>
        <w:footnoteReference w:id="9"/>
      </w:r>
      <w:r>
        <w:rPr/>
        <w:t xml:space="preserve">, que acrescentou o atendimento também para homens trans. Contudo, ainda hoje, as demandas dos ambulatórios brasileiros voltados para as pessoas trans ainda permanecem escassos para o atendimento, pelo fato de conter ambulatórios especializados pelo Ministério da Saúde </w:t>
      </w:r>
      <w:r>
        <w:rPr>
          <w:i/>
          <w:iCs/>
        </w:rPr>
        <w:t>em todas as regiões e estados da federação</w:t>
      </w:r>
      <w:r>
        <w:rPr/>
        <w:t xml:space="preserve"> </w:t>
      </w:r>
      <w:r>
        <w:rPr>
          <w:i/>
          <w:iCs/>
        </w:rPr>
        <w:t xml:space="preserve">que garantem  o acesso às consultas com uma equipe multidisciplinar e muito menos a dispensação dos medicamentos adequados para a hormonioterapia </w:t>
      </w:r>
      <w:r>
        <w:rPr/>
        <w:t>(REDETRANS, 2019, p. 66).</w:t>
      </w:r>
      <w:r>
        <w:rPr>
          <w:i/>
          <w:iCs/>
        </w:rPr>
        <w:t xml:space="preserve"> </w:t>
      </w:r>
      <w:r>
        <w:rPr/>
        <w:t>As unidades ambulatoriais devidamente habilitadas para as efetuações das cirurgias ainda são poucas, em consequência disso, muitas pessoas acabam ficando por volta de 10 anos na fila esperando para conseguirem realizar os procedimentos cirúrgicos requeridos (REDETRANS, 2019, p. 66).</w:t>
      </w:r>
    </w:p>
    <w:p>
      <w:pPr>
        <w:pStyle w:val="Texto"/>
        <w:rPr/>
      </w:pPr>
      <w:r>
        <w:rPr/>
        <w:t xml:space="preserve">       </w:t>
      </w:r>
      <w:r>
        <w:rPr/>
        <w:t>Corpos trans são assassinados agressivamente, mas até no momento da morte não possuem o mínimo de respeito, pois sofrem transfobia todos os dias. Como por exemplo, a reportagem do fantástico</w:t>
      </w:r>
      <w:r>
        <w:rPr>
          <w:rStyle w:val="Ncoradanotaderodap"/>
          <w:vertAlign w:val="superscript"/>
        </w:rPr>
        <w:footnoteReference w:id="10"/>
      </w:r>
      <w:r>
        <w:rPr/>
        <w:t xml:space="preserve"> do dia 03 de fevereiro de 2019, que relatou em tom alarmante a morte de Lourival Bezerra, como que este estivesse escondido um segredo durante toda a sua vida e só no momento de sua morte, foi revelado. Lourival era transexual e sua identidade de gênero foi desrespeitada, sendo tratado no feminino por conta de sua genitália. Um ato tremendo de transfobia, que limita as pessoas aos órgãos genitais. E reforçando os corpos a serem binários. </w:t>
      </w:r>
    </w:p>
    <w:p>
      <w:pPr>
        <w:pStyle w:val="Texto"/>
        <w:rPr/>
      </w:pPr>
      <w:r>
        <w:rPr/>
        <w:t xml:space="preserve">       </w:t>
      </w:r>
      <w:r>
        <w:rPr/>
        <w:t xml:space="preserve">O poder disciplinar não dá conta de docilizar e adestrar corporalidade trans, tornando vidas inúteis para os propósitos econômicos e perigosas aos propósitos políticos. Que por sua vez influencia no biopoder, que exerce o direito de matar ou deixar morrer por via do racismo de estado, que age sobre um viés biologizante sobre os corpos. </w:t>
      </w:r>
    </w:p>
    <w:p>
      <w:pPr>
        <w:pStyle w:val="Secaoprimaria"/>
        <w:rPr/>
      </w:pPr>
      <w:r>
        <w:rPr/>
        <w:t>TECNOLOGIA DE RESISTÊNCIA: O PODER QUE PASSA PELO CORPO</w:t>
      </w:r>
    </w:p>
    <w:p>
      <w:pPr>
        <w:pStyle w:val="Texto"/>
        <w:rPr/>
      </w:pPr>
      <w:r>
        <w:rPr/>
        <w:t xml:space="preserve">          </w:t>
      </w:r>
      <w:r>
        <w:rPr/>
        <w:t>O poder não funciona se estiver destinado a um só lugar, se estiver sendo apossado por uma só pessoa, por uma só instituição, o poder segundo Foucault (2005, p. 35) deve ser analisado como uma coisa que circula, como uma coisa que só funciona em cadeia. O poder se exerce em rede. O poder transita pelos pelas pessoas, porém não se aplica a elas. Conforme Foucault (2005) somos um efeito do poder, na mesma medida em que o poder perpassa por nós. Somos constituídos enquanto pessoas nas relações poder.</w:t>
      </w:r>
    </w:p>
    <w:p>
      <w:pPr>
        <w:pStyle w:val="Texto"/>
        <w:rPr/>
      </w:pPr>
      <w:r>
        <w:rPr/>
        <w:t xml:space="preserve">       </w:t>
      </w:r>
      <w:r>
        <w:rPr/>
        <w:t xml:space="preserve">Segundo Scott (1995), o gênero é uma ferramenta primordial ao dar sentido às relações de poder. O gênero, então, fornece um meio de decodificar o significado e de compreender as complexas conexões entre várias formas de interação humana (SCOTT, 1995, p. 89). A política, afirma Scott (1995), é somente um dos lugares onde o gênero pode ser aplicado para a obtenção de uma analítica histórica. Assim sendo, através do gênero, o poder político também passa a se constituir, se valida, e se avalia. O gênero não poder ser visto apenas como um signo binário, em que representa as categorias de ser homem ou mulher, mas também, conforme o pensamento de Scott (1995, p. 92), o gênero é o lugar onde essas categorias são estabelecidas. Seja em decorrência de um estabelecimento de maneira fixada, como fazem os mecanismos de normalização do corpo e da vida, para garantirem uma ordem social, ou seja por parte de uma refutação, por uma resistência à essas categorias, como fazem as multidões “confusas”, as multidões “queer” (PRECIADO, 2011), as multidões trans. Na qual essa resistência põe em perigo a estabilidade e “organização” de um sistema que funciona de modo normativo. </w:t>
      </w:r>
    </w:p>
    <w:p>
      <w:pPr>
        <w:pStyle w:val="Texto"/>
        <w:rPr/>
      </w:pPr>
      <w:r>
        <w:rPr/>
        <w:t xml:space="preserve">       </w:t>
      </w:r>
      <w:r>
        <w:rPr/>
        <w:t xml:space="preserve">Scott (1995), p. 93) sugere pensar o gênero não só atribuído ao sexo, mas pensar em uma visão de igualdade política e social, que inclua também a classe e a raça. Contudo, ao falar de gênero e das relações de poder que surgem, é indispensável observar as opressões classe e raça que se constituem, o gênero funciona de modo indissociável das questões de classe e raça. Ao abordamos os corpos trans, é impossível somente retratar por via do sexo e da sexualidade, pois as condições de precariedade e vulnerabilidade em que as vidas trans se encontram, gritam muito. A evasão escolar, abandono da família, exclusão social, o acesso escasso aos hospitais, sem condições de trabalhos formais, violências e crimes de ódio sofridos, estão no âmbito de uma violência de gênero, de uma violência que é estabelecida por relações de poder. </w:t>
      </w:r>
    </w:p>
    <w:p>
      <w:pPr>
        <w:pStyle w:val="Texto"/>
        <w:rPr/>
      </w:pPr>
      <w:r>
        <w:rPr/>
        <w:t xml:space="preserve">       </w:t>
      </w:r>
      <w:r>
        <w:rPr/>
        <w:t xml:space="preserve">Apesar terem sido criadas instituições disciplinares como a prisão e a escola, para a docilização dos corpos, o processo de forte intensidade na subjetivação do sujeito, segundo Lauretis (1994) é o gênero.  Abordar questões de gênero, é abordar relações de poder, é dizer que o gênero é uma relação de poder, onde acontece através de tecnologias de poder e tecnologias de resistência. </w:t>
      </w:r>
    </w:p>
    <w:p>
      <w:pPr>
        <w:pStyle w:val="Texto"/>
        <w:rPr/>
      </w:pPr>
      <w:r>
        <w:rPr/>
        <w:t xml:space="preserve">       </w:t>
      </w:r>
      <w:r>
        <w:rPr/>
        <w:t xml:space="preserve">Foucault (1998, p. 236) afirma que as interdições, proibições, impedimentos, não são formas essencialistas do poder, e sim, somente os seus limites. As relações de poder, são antes de mais nada, produtivas. E a resistência não pode ser vista como isolada do poder, gerida antecipadamente a ele, a resistência é coextensiva a ele. Desse modo, conforme Foucault (1998) para acontecer uma resistência, é necessário, e esta seja como o poder que enfrenta. </w:t>
      </w:r>
      <w:r>
        <w:rPr>
          <w:i/>
        </w:rPr>
        <w:t>Tão inventiva, tão móvel, tão produtiva quanto ele. Que, como ele, venha de “baixo” e se distribua estrategicamente</w:t>
      </w:r>
      <w:r>
        <w:rPr/>
        <w:t xml:space="preserve"> (FOUCAULT, 1998, p. 241). Para Foucault (1998, p. 241; 1999, p. 91) a partir do instante em que há uma relação de poder, há uma possibilidade de resistência. O poder é fragmentado, é diluído entre as pessoas, ele está em toda parte, e provém de todos os lugares, assim a resistência está em todos os lugares e pode começar em todos os lugares.  A noção de resistência de Foucault, para Louro (2009, p. 140) age como uma subversão que é feita a partir da norma, ocorre no próprio interior da norma. </w:t>
      </w:r>
    </w:p>
    <w:p>
      <w:pPr>
        <w:pStyle w:val="Texto"/>
        <w:rPr/>
      </w:pPr>
      <w:r>
        <w:rPr/>
        <w:t xml:space="preserve">       </w:t>
      </w:r>
      <w:r>
        <w:rPr/>
        <w:t xml:space="preserve">No Brasil, não existem políticas públicas especificas para pessoas trans, e as que estão em vigor, não funcionam ou passam por processos burocráticos demasiadamente demorados e dolorosos (como exemplo, problemas de não reconhecimento da transfobia como crime de racismo pelos meios da lei nº 7716/89 mesmo ela estando em vigor; a falta de garantia de proteção para as mulheres trans e travestis, através da resolução da Lei Maria da Penha nº </w:t>
      </w:r>
      <w:r>
        <w:rPr>
          <w:u w:val="single"/>
        </w:rPr>
        <w:t>11.340</w:t>
      </w:r>
      <w:r>
        <w:rPr>
          <w:rStyle w:val="Ncoradanotaderodap"/>
          <w:u w:val="single"/>
          <w:vertAlign w:val="superscript"/>
        </w:rPr>
        <w:footnoteReference w:id="11"/>
      </w:r>
      <w:r>
        <w:rPr/>
        <w:t xml:space="preserve">; o descaso das unidades de saúde, a falta de hospitais habilitados em todas as regiões do país, a falta de recursos para os procedimentos cirúrgicos, transfobia pelos profissionais da saúde, mesmo com a resolução nº </w:t>
      </w:r>
      <w:r>
        <w:rPr>
          <w:u w:val="single"/>
        </w:rPr>
        <w:t>2.265</w:t>
      </w:r>
      <w:r>
        <w:rPr>
          <w:rStyle w:val="Ncoradanotaderodap"/>
          <w:u w:val="single"/>
          <w:vertAlign w:val="superscript"/>
        </w:rPr>
        <w:footnoteReference w:id="12"/>
      </w:r>
      <w:r>
        <w:rPr/>
        <w:t xml:space="preserve"> concedida pelo Conselho Federal de Medicina, para o respeito com as identidades trans, etc.) Daí a importância dos rótulos (NERY, 2018, p. 394) mesmo sabendo que estes não definem uma pessoa. Daí a importância das resistências trans. A transgeneridade e/ou transexualidade é uma das variadas formas de se expressar a vivencia humana. É de extrema importância política que ajam para as pessoas trans, “</w:t>
      </w:r>
      <w:r>
        <w:rPr>
          <w:i/>
          <w:iCs/>
        </w:rPr>
        <w:t>ajuda financeira com incentivo à educação, acesso à saúde, moradia, empregabilidade formal e apoio social, sobretudo aos familiares, para que não rejeitem seus filhos e filhas homo e/ou trans</w:t>
      </w:r>
      <w:r>
        <w:rPr/>
        <w:t xml:space="preserve">” (NERY, 2018, p. 404).  Com isso, não haveria ameaça de tirar o privilégio de vida de algumas pessoas para outras, pois essas questões são coisas básicas para a vida humana. E se algumas pessoas não tem direitos que são ditos para todas, então não são nem consideradas humanas, e a partir disso, se tem o direito de “fazer morrer”. </w:t>
      </w:r>
    </w:p>
    <w:p>
      <w:pPr>
        <w:pStyle w:val="Texto"/>
        <w:rPr/>
      </w:pPr>
      <w:r>
        <w:rPr/>
        <w:t xml:space="preserve">      </w:t>
      </w:r>
      <w:r>
        <w:rPr/>
        <w:t xml:space="preserve">Jaqueline Gomes de Jesus (2012) diz que na sociedade contemporânea, além de vivenciar uma identidade de gênero, ser transgênere corresponde a estampar uma identidade política, a existência como um ato político, elencadas pela desconstrução da crença ficcional em normas de gênero consideradas naturais ou essenciais. Segundo Connell (2014, p. 22) as bases de gênero mudam historicamente, pois existem momentos, crises e de transformação nas estruturas. Porém não se dá de modo rápido, e sim de modo sofrido e devagar.  Preciado (2020) em uma entrevista recente, disse que nos próximos 20 e/ou 30 anos, vamos deixar de atribuir sexo à nascença. E convicto, afirma que ainda veremos a atribuição do sexo à nascença como brutal e injustiçada. Porém, tais atribuições dependem das verdades das próximas décadas, dependem do que será tido como certo e absoluto. Dependerá das tecnologias em vigor. Preciado (2014, p. 23) atenta que seria vantajoso que a “história da humanidade” passasse a ser revista como a “história das tecnologias”. Onde o sexo e o gênero fossem usados como aparatos constantes (DE LOS SANTOS RODRIGUEZ, 2019, p. 189). </w:t>
      </w:r>
    </w:p>
    <w:p>
      <w:pPr>
        <w:pStyle w:val="Texto"/>
        <w:rPr/>
      </w:pPr>
      <w:r>
        <w:rPr/>
        <w:t xml:space="preserve">      </w:t>
      </w:r>
      <w:r>
        <w:rPr/>
        <w:t xml:space="preserve">Pessoas trans existem. As tecnologias de poder concebidas por Foucault, tratadas aqui no texto, explicitam bem como que agem sobre os corpos trans, e mostram com mais eficiência que o “fazer morrer” está mais potente que o “fazer viver”. O apagamento da história de pessoas trans, o esquecimento de suas memórias, é uma forma de tecnologia de dominação. Porém, em contra partida, onde há poder, também a resistência. As tecnologias de resistências trans são os seus corpos, sua existência, suas vidas, suas próteses tecnológicas de gênero e sexo (DE LOS SANTOS RODRIGUEZ, 2019). Invisibilidade para vida e visibilidade para morte. Não cabe mais. É de extrema necessidade admitir que os corpos são mais dóceis (PRECIADO, 2011, p. 15), que corpos trans desviam das identificações essencialistas binárias e se produzem, se moldam, se constroem como trans: seus corpos são uma tecnologia de resistência.  </w:t>
      </w:r>
    </w:p>
    <w:p>
      <w:pPr>
        <w:pStyle w:val="Secaosecundaria"/>
        <w:rPr>
          <w:b/>
          <w:b/>
          <w:bCs/>
        </w:rPr>
      </w:pPr>
      <w:r>
        <w:rPr>
          <w:b/>
          <w:bCs/>
        </w:rPr>
        <w:t xml:space="preserve">PALAVRAS FINAIS </w:t>
      </w:r>
    </w:p>
    <w:p>
      <w:pPr>
        <w:pStyle w:val="Texto"/>
        <w:rPr/>
      </w:pPr>
      <w:r>
        <w:rPr/>
        <w:t xml:space="preserve">Através de releituras de algumas obras de Michel Foucault (1987;1998;1999;2005) onde ele apresenta as tecnologias de poder e conceitua a noção de resistência, foi possível realizar um diálogo e discutir as corporalidades trans em uma perspectiva contemporânea. Somos constituídes nas relações de poder, e utilizamos uma rede diversa de tecnologias de poder. Pessoas trans produzem resistência por meio de seus corpos, só pelo fato de estarem vivas, é uma resistência ao direito de fazer morrer do biopoder que é executado por vias do racismo de estado. Corpos trans que maximizam suas forças políticas e são minimizadas as mesmas forças em âmbito econômico por não serem úteis, por não terem se assejuitado ao controle e a docilização do poder disciplinar. </w:t>
      </w:r>
    </w:p>
    <w:p>
      <w:pPr>
        <w:pStyle w:val="Texto"/>
        <w:rPr/>
      </w:pPr>
      <w:r>
        <w:rPr/>
        <w:t xml:space="preserve">      </w:t>
      </w:r>
      <w:r>
        <w:rPr/>
        <w:t xml:space="preserve">De acordo com essas notícias e os dados aqui explicitados, podemos perceber que ser trans, seja no Brasil ou em qualquer lugar do mundo, não é uma escolha, pois quem quer escolher ter a sua vida ameaçada, pelo simples fato de existir? Pelo simples fato de ser quem é? Em tempos de retorno ao obscurantismo, que cada um de nós esteja atente. O conservadorismo histórico universal e heteronormativo esteve e está sempre pronto para exterminar as vidas das multidões “desajustadas”. Não deixar que pessoas trans possam viver, é escrever as suas histórias de cunho cis-heteronormativo de gênero, para, desta maneira, promover o apagamento de qualquer vestígio que identifique as lutas de uma população bravamente resistente. </w:t>
      </w:r>
    </w:p>
    <w:p>
      <w:pPr>
        <w:pStyle w:val="Texto"/>
        <w:rPr/>
      </w:pPr>
      <w:r>
        <w:rPr/>
        <w:t xml:space="preserve">       </w:t>
      </w:r>
      <w:r>
        <w:rPr/>
        <w:t xml:space="preserve">Corpos de pessoas trans, são tidos como corpos abjetos, fora das normas, do padrão normativo, como se fosse um corpo errado e teria que se ajustar. E não importa o quanto modifiquem o corpo, ele sempre vai estar errado para o corpo social hegemônico. O corpo social hegemônico é que precisa ser ajustado e modificado, pois </w:t>
      </w:r>
      <w:r>
        <w:rPr>
          <w:i/>
        </w:rPr>
        <w:t>os corpos já nascem certos sendo do jeito que eles são, sejam eles do jeito que forem</w:t>
      </w:r>
      <w:r>
        <w:rPr/>
        <w:t xml:space="preserve"> (LANZ, 2017, p. 382). Butler (2015) diz que o corpo não existe, ou seja, um corpo natural, precedente, pois todos os corpos estão entalhados na cultura e é, por conseguinte, interpretado pelas técnicas de linguagem e pelas ações. Os corpos são generificados. O corpo é manufaturado e montado pelos discursos. Deste modo, um corpo adquire conhecimento com o cosmos, sendo marcado com e através dele, suas experimentações de vida. Assim como para Preciado (2014, p. 83) o dildo </w:t>
      </w:r>
      <w:r>
        <w:rPr>
          <w:i/>
        </w:rPr>
        <w:t>é trânsito e não essência</w:t>
      </w:r>
      <w:r>
        <w:rPr/>
        <w:t xml:space="preserve">, eu digo que o corpo é trânsito e não essência. Como podem querer normalizar e regular os corpos? Sim, existem corpos dóceis, domesticados e adestrados. Mas não te trata de corpos trans, que transgridem as normas binárias de gênero e sexo, que fazem de sua vivência uma resistência diária contra esse sistema determinista e biologizante.   Penso sobre a revolução que tratam Dardot e Laval (2017), e acredito que corporalmente, que a revolução deva se dar pelo corpo. O lugar é o corpo. </w:t>
      </w:r>
    </w:p>
    <w:p>
      <w:pPr>
        <w:pStyle w:val="Normal"/>
        <w:spacing w:lineRule="auto" w:line="259" w:before="0" w:after="160"/>
        <w:rPr>
          <w:color w:val="262626"/>
        </w:rPr>
      </w:pPr>
      <w:r>
        <w:rPr>
          <w:color w:val="262626"/>
        </w:rPr>
      </w:r>
      <w:r>
        <w:br w:type="page"/>
      </w:r>
    </w:p>
    <w:tbl>
      <w:tblPr>
        <w:tblStyle w:val="Tabelacomgrade"/>
        <w:tblW w:w="10206" w:type="dxa"/>
        <w:jc w:val="left"/>
        <w:tblInd w:w="0" w:type="dxa"/>
        <w:tblCellMar>
          <w:top w:w="0" w:type="dxa"/>
          <w:left w:w="0" w:type="dxa"/>
          <w:bottom w:w="0" w:type="dxa"/>
          <w:right w:w="0" w:type="dxa"/>
        </w:tblCellMar>
        <w:tblLook w:firstRow="1" w:noVBand="1" w:lastRow="0" w:firstColumn="1" w:lastColumn="0" w:noHBand="0" w:val="04a0"/>
      </w:tblPr>
      <w:tblGrid>
        <w:gridCol w:w="2268"/>
        <w:gridCol w:w="562"/>
        <w:gridCol w:w="7376"/>
      </w:tblGrid>
      <w:tr>
        <w:trPr>
          <w:trHeight w:val="1964" w:hRule="atLeast"/>
        </w:trPr>
        <w:tc>
          <w:tcPr>
            <w:tcW w:w="2268" w:type="dxa"/>
            <w:tcBorders>
              <w:top w:val="nil"/>
              <w:left w:val="nil"/>
              <w:bottom w:val="nil"/>
              <w:right w:val="nil"/>
            </w:tcBorders>
          </w:tcPr>
          <w:p>
            <w:pPr>
              <w:pStyle w:val="Normal"/>
              <w:pageBreakBefore/>
              <w:rPr/>
            </w:pPr>
            <w:r>
              <w:rPr/>
            </w:r>
          </w:p>
        </w:tc>
        <w:tc>
          <w:tcPr>
            <w:tcW w:w="562" w:type="dxa"/>
            <w:tcBorders>
              <w:top w:val="nil"/>
              <w:left w:val="nil"/>
              <w:bottom w:val="nil"/>
              <w:right w:val="nil"/>
            </w:tcBorders>
          </w:tcPr>
          <w:p>
            <w:pPr>
              <w:pStyle w:val="Normal"/>
              <w:rPr/>
            </w:pPr>
            <w:r>
              <w:rPr/>
            </w:r>
          </w:p>
        </w:tc>
        <w:tc>
          <w:tcPr>
            <w:tcW w:w="7376" w:type="dxa"/>
            <w:tcBorders>
              <w:top w:val="nil"/>
              <w:left w:val="nil"/>
              <w:bottom w:val="nil"/>
              <w:right w:val="nil"/>
            </w:tcBorders>
            <w:vAlign w:val="center"/>
          </w:tcPr>
          <w:p>
            <w:pPr>
              <w:pStyle w:val="Tituloprincipal"/>
              <w:spacing w:before="480" w:after="240"/>
              <w:rPr>
                <w:color w:val="533301"/>
                <w:lang w:val="en-US"/>
                <w14:textFill>
                  <w14:solidFill>
                    <w14:srgbClr w14:val="533301">
                      <w14:lumMod w14:val="85000"/>
                      <w14:lumOff w14:val="15000"/>
                    </w14:srgbClr>
                  </w14:solidFill>
                </w14:textFill>
              </w:rPr>
            </w:pPr>
            <w:r>
              <w:rPr/>
              <w:br/>
              <w:t>Trans Bodies: far from being docile bodies</w:t>
            </w:r>
            <w:r>
              <w:rPr>
                <w:lang w:val="en-US"/>
              </w:rPr>
              <w:t xml:space="preserve"> </w:t>
            </w:r>
          </w:p>
          <w:p>
            <w:pPr>
              <w:pStyle w:val="Secaoprimcentral"/>
              <w:spacing w:before="480" w:after="240"/>
              <w:jc w:val="center"/>
              <w:rPr/>
            </w:pPr>
            <w:r>
              <w:rPr/>
              <w:t>ABSTRACT</w:t>
            </w:r>
          </w:p>
        </w:tc>
      </w:tr>
      <w:tr>
        <w:trPr>
          <w:trHeight w:val="6968" w:hRule="atLeast"/>
        </w:trPr>
        <w:tc>
          <w:tcPr>
            <w:tcW w:w="2268" w:type="dxa"/>
            <w:tcBorders>
              <w:top w:val="nil"/>
              <w:left w:val="nil"/>
              <w:bottom w:val="nil"/>
              <w:right w:val="nil"/>
            </w:tcBorders>
          </w:tcPr>
          <w:p>
            <w:pPr>
              <w:pStyle w:val="Afiliacao"/>
              <w:spacing w:before="0" w:after="240"/>
              <w:rPr/>
            </w:pPr>
            <w:r>
              <w:rPr/>
            </w:r>
          </w:p>
        </w:tc>
        <w:tc>
          <w:tcPr>
            <w:tcW w:w="562" w:type="dxa"/>
            <w:tcBorders>
              <w:top w:val="nil"/>
              <w:left w:val="nil"/>
              <w:bottom w:val="nil"/>
              <w:right w:val="nil"/>
            </w:tcBorders>
          </w:tcPr>
          <w:p>
            <w:pPr>
              <w:pStyle w:val="Normal"/>
              <w:jc w:val="both"/>
              <w:rPr/>
            </w:pPr>
            <w:r>
              <w:rPr/>
            </w:r>
          </w:p>
        </w:tc>
        <w:tc>
          <w:tcPr>
            <w:tcW w:w="7376" w:type="dxa"/>
            <w:tcBorders>
              <w:top w:val="nil"/>
              <w:left w:val="nil"/>
              <w:bottom w:val="nil"/>
              <w:right w:val="nil"/>
            </w:tcBorders>
          </w:tcPr>
          <w:p>
            <w:pPr>
              <w:pStyle w:val="Normal"/>
              <w:spacing w:before="0" w:after="0"/>
              <w:jc w:val="both"/>
              <w:rPr>
                <w:sz w:val="20"/>
                <w:szCs w:val="20"/>
              </w:rPr>
            </w:pPr>
            <w:r>
              <w:rPr>
                <w:sz w:val="20"/>
                <w:szCs w:val="20"/>
              </w:rPr>
              <w:t xml:space="preserve">This article intends to discuss </w:t>
            </w:r>
            <w:r>
              <w:rPr>
                <w:sz w:val="20"/>
                <w:szCs w:val="20"/>
              </w:rPr>
              <w:t xml:space="preserve">the </w:t>
            </w:r>
            <w:r>
              <w:rPr>
                <w:sz w:val="20"/>
                <w:szCs w:val="20"/>
              </w:rPr>
              <w:t xml:space="preserve">trans bodies as </w:t>
            </w:r>
            <w:r>
              <w:rPr>
                <w:sz w:val="20"/>
                <w:szCs w:val="20"/>
              </w:rPr>
              <w:t>challengers</w:t>
            </w:r>
            <w:r>
              <w:rPr>
                <w:sz w:val="20"/>
                <w:szCs w:val="20"/>
              </w:rPr>
              <w:t xml:space="preserve"> </w:t>
            </w:r>
            <w:r>
              <w:rPr>
                <w:sz w:val="20"/>
                <w:szCs w:val="20"/>
              </w:rPr>
              <w:t xml:space="preserve">of </w:t>
            </w:r>
            <w:r>
              <w:rPr>
                <w:sz w:val="20"/>
                <w:szCs w:val="20"/>
              </w:rPr>
              <w:t xml:space="preserve">the hegemonic social norm and </w:t>
            </w:r>
            <w:r>
              <w:rPr>
                <w:sz w:val="20"/>
                <w:szCs w:val="20"/>
              </w:rPr>
              <w:t>builders of</w:t>
            </w:r>
            <w:r>
              <w:rPr>
                <w:sz w:val="20"/>
                <w:szCs w:val="20"/>
              </w:rPr>
              <w:t xml:space="preserve"> their own existence. Th</w:t>
            </w:r>
            <w:r>
              <w:rPr>
                <w:sz w:val="20"/>
                <w:szCs w:val="20"/>
              </w:rPr>
              <w:t xml:space="preserve">ose trans bodies are problematized in the present study. It occurs  supported by two concepts elaborated by Michel Foucault: technologies of discipline and technologies of biopower. To what extent do technologies of discipline turn trans bodies into docile bodies? To what extent do technologies of biopower allow trans persons to live their life? How </w:t>
            </w:r>
            <w:r>
              <w:rPr>
                <w:sz w:val="20"/>
                <w:szCs w:val="20"/>
              </w:rPr>
              <w:t xml:space="preserve">long </w:t>
            </w:r>
            <w:r>
              <w:rPr>
                <w:sz w:val="20"/>
                <w:szCs w:val="20"/>
              </w:rPr>
              <w:t xml:space="preserve">will trans </w:t>
            </w:r>
            <w:r>
              <w:rPr>
                <w:sz w:val="20"/>
                <w:szCs w:val="20"/>
              </w:rPr>
              <w:t xml:space="preserve">persons </w:t>
            </w:r>
            <w:r>
              <w:rPr>
                <w:sz w:val="20"/>
                <w:szCs w:val="20"/>
              </w:rPr>
              <w:t xml:space="preserve">  produce resistance technologies to make their experiences count? Trans corporealities refuse to have their forces minimized politically. </w:t>
            </w:r>
            <w:r>
              <w:rPr>
                <w:sz w:val="20"/>
                <w:szCs w:val="20"/>
              </w:rPr>
              <w:t>They resist with their technologies of body and of gender.</w:t>
            </w:r>
          </w:p>
          <w:p>
            <w:pPr>
              <w:pStyle w:val="Resumo"/>
              <w:rPr>
                <w:lang w:val="en-US"/>
              </w:rPr>
            </w:pPr>
            <w:r>
              <w:rPr>
                <w:lang w:val="en-US"/>
              </w:rPr>
            </w:r>
          </w:p>
          <w:p>
            <w:pPr>
              <w:pStyle w:val="Resumo"/>
              <w:rPr/>
            </w:pPr>
            <w:r>
              <w:rPr>
                <w:rStyle w:val="Palavraschave"/>
                <w:lang w:val="en-US"/>
              </w:rPr>
              <w:t>KEYWORDS:</w:t>
            </w:r>
            <w:r>
              <w:rPr>
                <w:lang w:val="en-US"/>
              </w:rPr>
              <w:t xml:space="preserve"> </w:t>
            </w:r>
            <w:r>
              <w:rPr/>
              <w:t>Trans Bodies; Power Technologies; Resistance Technologies.</w:t>
            </w:r>
          </w:p>
          <w:p>
            <w:pPr>
              <w:pStyle w:val="Resumo"/>
              <w:rPr/>
            </w:pPr>
            <w:r>
              <w:rPr/>
            </w:r>
          </w:p>
          <w:p>
            <w:pPr>
              <w:pStyle w:val="Resumo"/>
              <w:rPr/>
            </w:pPr>
            <w:r>
              <w:rPr/>
            </w:r>
          </w:p>
          <w:p>
            <w:pPr>
              <w:pStyle w:val="Tituloprincipal"/>
              <w:rPr>
                <w:color w:val="533301"/>
                <w:lang w:val="en-US"/>
                <w14:textFill>
                  <w14:solidFill>
                    <w14:srgbClr w14:val="533301">
                      <w14:lumMod w14:val="85000"/>
                      <w14:lumOff w14:val="15000"/>
                    </w14:srgbClr>
                  </w14:solidFill>
                </w14:textFill>
              </w:rPr>
            </w:pPr>
            <w:r>
              <w:rPr/>
              <w:t>Cuerpos trans: lejos de ser cuerpos dóciles</w:t>
            </w:r>
            <w:r>
              <w:rPr>
                <w:lang w:val="en-US"/>
              </w:rPr>
              <w:t xml:space="preserve"> </w:t>
            </w:r>
          </w:p>
          <w:p>
            <w:pPr>
              <w:pStyle w:val="Secaoprimcentral"/>
              <w:rPr/>
            </w:pPr>
            <w:r>
              <w:rPr/>
              <w:t>RESUMEN</w:t>
            </w:r>
          </w:p>
          <w:p>
            <w:pPr>
              <w:pStyle w:val="Resumo"/>
              <w:rPr/>
            </w:pPr>
            <w:r>
              <w:rPr/>
              <w:t>Este ensayo está destinado a discutir los cuerpos trans como desafiando la norma social hegemónica y construyendo su propia existencia. Habrá preguntas acerca de estos cuerpos que se constituyen dentro del alcance de la resistencia, con el apoyo de dos tecnologías de poder desarrolladas por Michel Foucault: el disciplinario y el biopoder. ¿En qué medida las técnicas disciplinarias docilizan y hacen que los cuerpos trans sean útiles? ¿En qué medida las técnicas de biopoder hacen que las vidas trans vivan? ¿E incluso cuándo las personas transgénero producirán tecnologías de resistencia para que sus experiencias cuenten? Las corporeidades trans se niegan a que sus fuerzas se minimicen políticamente, y lo hacen a través de tecnologías de resistencia, siendo el cuerpo y el género, primario y fundamental.</w:t>
            </w:r>
          </w:p>
          <w:p>
            <w:pPr>
              <w:pStyle w:val="Resumo"/>
              <w:ind w:left="0" w:hanging="0"/>
              <w:rPr>
                <w:rStyle w:val="Palavraschave"/>
                <w:b w:val="false"/>
                <w:b w:val="false"/>
                <w:color w:val="262626"/>
                <w14:textFill>
                  <w14:solidFill>
                    <w14:srgbClr w14:val="262626">
                      <w14:lumMod w14:val="85000"/>
                      <w14:lumOff w14:val="15000"/>
                      <w14:lumMod w14:val="85000"/>
                      <w14:lumOff w14:val="15000"/>
                    </w14:srgbClr>
                  </w14:solidFill>
                </w14:textFill>
              </w:rPr>
            </w:pPr>
            <w:r>
              <w:rPr>
                <w:b w:val="false"/>
                <w:color w:val="262626"/>
                <w14:textFill>
                  <w14:solidFill>
                    <w14:srgbClr w14:val="262626">
                      <w14:lumMod w14:val="85000"/>
                      <w14:lumOff w14:val="15000"/>
                      <w14:lumMod w14:val="85000"/>
                      <w14:lumOff w14:val="15000"/>
                    </w14:srgbClr>
                  </w14:solidFill>
                </w14:textFill>
              </w:rPr>
            </w:r>
          </w:p>
          <w:p>
            <w:pPr>
              <w:pStyle w:val="Resumo"/>
              <w:rPr/>
            </w:pPr>
            <w:r>
              <w:rPr>
                <w:b/>
                <w:color w:val="ED7D31"/>
                <w14:textFill>
                  <w14:solidFill>
                    <w14:srgbClr w14:val="ED7D31">
                      <w14:lumMod w14:val="85000"/>
                      <w14:lumOff w14:val="15000"/>
                    </w14:srgbClr>
                  </w14:solidFill>
                </w14:textFill>
              </w:rPr>
              <w:t>PALABRAS CLAVE</w:t>
            </w:r>
            <w:r>
              <w:rPr>
                <w:rStyle w:val="Palavraschave"/>
                <w:lang w:val="en-US"/>
              </w:rPr>
              <w:t>:</w:t>
            </w:r>
            <w:r>
              <w:rPr>
                <w:lang w:val="en-US"/>
              </w:rPr>
              <w:t xml:space="preserve"> </w:t>
            </w:r>
            <w:r>
              <w:rPr/>
              <w:t>Cuerpos Trans; Tecnologías de Poder; Tecnologías de Resistencia.</w:t>
            </w:r>
          </w:p>
          <w:p>
            <w:pPr>
              <w:pStyle w:val="Resumo"/>
              <w:spacing w:before="0" w:after="120"/>
              <w:ind w:left="5" w:hanging="0"/>
              <w:jc w:val="both"/>
              <w:rPr/>
            </w:pPr>
            <w:r>
              <w:rPr/>
            </w:r>
          </w:p>
        </w:tc>
      </w:tr>
    </w:tbl>
    <w:p>
      <w:pPr>
        <w:pStyle w:val="Normal"/>
        <w:spacing w:lineRule="auto" w:line="259" w:before="0" w:after="160"/>
        <w:rPr>
          <w:color w:val="000000"/>
        </w:rPr>
      </w:pPr>
      <w:r>
        <w:rPr>
          <w:color w:val="000000"/>
        </w:rPr>
      </w:r>
      <w:r>
        <w:br w:type="page"/>
      </w:r>
    </w:p>
    <w:p>
      <w:pPr>
        <w:pStyle w:val="Tituloselementospostextuais"/>
        <w:rPr/>
      </w:pPr>
      <w:r>
        <w:rPr/>
        <w:t>REFERÊNCIAS</w:t>
      </w:r>
    </w:p>
    <w:p>
      <w:pPr>
        <w:pStyle w:val="Corpodotexto"/>
        <w:ind w:left="2835" w:hanging="0"/>
        <w:rPr>
          <w:color w:val="595959" w:themeColor="text1" w:themeTint="a6"/>
          <w:lang w:val="pt-BR"/>
        </w:rPr>
      </w:pPr>
      <w:r>
        <w:rPr>
          <w:color w:val="595959" w:themeColor="text1" w:themeTint="a6"/>
          <w:lang w:val="pt-BR"/>
        </w:rPr>
        <w:t xml:space="preserve">BENTO, Berenice. </w:t>
      </w:r>
      <w:r>
        <w:rPr>
          <w:b/>
          <w:bCs/>
          <w:color w:val="595959" w:themeColor="text1" w:themeTint="a6"/>
          <w:lang w:val="pt-BR"/>
        </w:rPr>
        <w:t>Transviad@s: gênero, sexualidade e direitos humanos</w:t>
      </w:r>
      <w:r>
        <w:rPr>
          <w:color w:val="595959" w:themeColor="text1" w:themeTint="a6"/>
          <w:lang w:val="pt-BR"/>
        </w:rPr>
        <w:t xml:space="preserve"> / Berenice Bento. - Salvador: EDUFBA, 2017. </w:t>
      </w:r>
    </w:p>
    <w:p>
      <w:pPr>
        <w:pStyle w:val="Corpodotexto"/>
        <w:ind w:left="2835" w:hanging="0"/>
        <w:rPr>
          <w:color w:val="595959" w:themeColor="text1" w:themeTint="a6"/>
          <w:lang w:val="pt-BR"/>
        </w:rPr>
      </w:pPr>
      <w:r>
        <w:rPr>
          <w:color w:val="595959" w:themeColor="text1" w:themeTint="a6"/>
          <w:lang w:val="pt-BR"/>
        </w:rPr>
        <w:t xml:space="preserve">BUTLER, Judith. </w:t>
      </w:r>
      <w:r>
        <w:rPr>
          <w:b/>
          <w:color w:val="595959" w:themeColor="text1" w:themeTint="a6"/>
          <w:lang w:val="pt-BR"/>
        </w:rPr>
        <w:t>Quadros de guerra: quando a vida é passível de luto?</w:t>
      </w:r>
      <w:r>
        <w:rPr>
          <w:color w:val="595959" w:themeColor="text1" w:themeTint="a6"/>
          <w:lang w:val="pt-BR"/>
        </w:rPr>
        <w:t xml:space="preserve"> Tradução de Sérgio Lamarão e Arnaldo Cunha. Rio de Janeiro: Civilização Brasileira, 2015.</w:t>
      </w:r>
    </w:p>
    <w:p>
      <w:pPr>
        <w:pStyle w:val="Corpodotexto"/>
        <w:ind w:left="2835" w:hanging="0"/>
        <w:rPr>
          <w:color w:val="595959" w:themeColor="text1" w:themeTint="a6"/>
          <w:lang w:val="pt-BR"/>
        </w:rPr>
      </w:pPr>
      <w:r>
        <w:rPr>
          <w:color w:val="595959" w:themeColor="text1" w:themeTint="a6"/>
          <w:lang w:val="pt-BR"/>
        </w:rPr>
        <w:t xml:space="preserve">CONNELL, Raewyn. </w:t>
      </w:r>
      <w:r>
        <w:rPr>
          <w:b/>
          <w:color w:val="595959" w:themeColor="text1" w:themeTint="a6"/>
          <w:lang w:val="pt-BR"/>
        </w:rPr>
        <w:t>Questões de gênero e justiça social</w:t>
      </w:r>
      <w:r>
        <w:rPr>
          <w:color w:val="595959" w:themeColor="text1" w:themeTint="a6"/>
          <w:lang w:val="pt-BR"/>
        </w:rPr>
        <w:t xml:space="preserve">. Século XXI: Revista de Ciências Sociais, v.4, n.2, 11-48, 2014. Disponível em: </w:t>
      </w:r>
      <w:hyperlink r:id="rId3">
        <w:r>
          <w:rPr>
            <w:rStyle w:val="LinkdaInternet"/>
            <w:lang w:val="pt-BR"/>
          </w:rPr>
          <w:t>https://periodicos.ufsm.br/seculoxxi/article/view/17033</w:t>
        </w:r>
      </w:hyperlink>
      <w:r>
        <w:rPr>
          <w:color w:val="595959" w:themeColor="text1" w:themeTint="a6"/>
          <w:lang w:val="pt-BR"/>
        </w:rPr>
        <w:t xml:space="preserve">.  Acesso em: 20 Fev. 2020.  </w:t>
      </w:r>
    </w:p>
    <w:p>
      <w:pPr>
        <w:pStyle w:val="Corpodotexto"/>
        <w:ind w:left="2835" w:hanging="0"/>
        <w:rPr>
          <w:color w:val="595959" w:themeColor="text1" w:themeTint="a6"/>
          <w:lang w:val="pt-BR"/>
        </w:rPr>
      </w:pPr>
      <w:r>
        <w:rPr>
          <w:color w:val="595959" w:themeColor="text1" w:themeTint="a6"/>
          <w:lang w:val="pt-BR"/>
        </w:rPr>
        <w:t xml:space="preserve">DARDOT, Pierre; LAVAL, Christian. </w:t>
      </w:r>
      <w:r>
        <w:rPr>
          <w:b/>
          <w:color w:val="595959" w:themeColor="text1" w:themeTint="a6"/>
          <w:lang w:val="pt-BR"/>
        </w:rPr>
        <w:t>O Comum é a revolução</w:t>
      </w:r>
      <w:r>
        <w:rPr>
          <w:color w:val="595959" w:themeColor="text1" w:themeTint="a6"/>
          <w:lang w:val="pt-BR"/>
        </w:rPr>
        <w:t xml:space="preserve">. In: IHU – UNISINOS, 26 de outubro e 2017. Disponível em: </w:t>
      </w:r>
      <w:hyperlink r:id="rId4">
        <w:r>
          <w:rPr>
            <w:rStyle w:val="LinkdaInternet"/>
            <w:lang w:val="pt-BR"/>
          </w:rPr>
          <w:t>http://www.ihu.unisinos.br/78-noticias/573045-o-comum-e-a-revolucao-dizem-dardot-e-laval</w:t>
        </w:r>
      </w:hyperlink>
      <w:r>
        <w:rPr>
          <w:color w:val="595959" w:themeColor="text1" w:themeTint="a6"/>
          <w:lang w:val="pt-BR"/>
        </w:rPr>
        <w:t xml:space="preserve">. Acesso em: 05 Nov/2019. </w:t>
      </w:r>
    </w:p>
    <w:p>
      <w:pPr>
        <w:pStyle w:val="Corpodotexto"/>
        <w:ind w:left="2835" w:hanging="0"/>
        <w:rPr>
          <w:b/>
          <w:b/>
          <w:color w:val="595959" w:themeColor="text1" w:themeTint="a6"/>
          <w:lang w:val="pt-BR"/>
        </w:rPr>
      </w:pPr>
      <w:r>
        <w:rPr>
          <w:color w:val="595959" w:themeColor="text1" w:themeTint="a6"/>
          <w:lang w:val="pt-BR"/>
        </w:rPr>
        <w:t xml:space="preserve">DE LOS SANTOS RODRIGUEZ, Shay. </w:t>
      </w:r>
      <w:r>
        <w:rPr>
          <w:b/>
          <w:color w:val="595959" w:themeColor="text1" w:themeTint="a6"/>
          <w:lang w:val="pt-BR"/>
        </w:rPr>
        <w:t>SE EU COMPREI, ENTÃO É MEU!: coisas do cotidiano e do prazer sexual para além da heteronormatividade</w:t>
      </w:r>
      <w:r>
        <w:rPr>
          <w:color w:val="595959" w:themeColor="text1" w:themeTint="a6"/>
          <w:lang w:val="pt-BR"/>
        </w:rPr>
        <w:t>. 1. Ed. Rio Grande: CLP, 2019. 227 p</w:t>
      </w:r>
      <w:r>
        <w:rPr>
          <w:b/>
          <w:color w:val="595959" w:themeColor="text1" w:themeTint="a6"/>
          <w:lang w:val="pt-BR"/>
        </w:rPr>
        <w:t xml:space="preserve">. </w:t>
      </w:r>
    </w:p>
    <w:p>
      <w:pPr>
        <w:pStyle w:val="Corpodotexto"/>
        <w:ind w:left="2835" w:hanging="0"/>
        <w:rPr>
          <w:color w:val="595959" w:themeColor="text1" w:themeTint="a6"/>
          <w:lang w:val="pt-BR"/>
        </w:rPr>
      </w:pPr>
      <w:r>
        <w:rPr>
          <w:b/>
          <w:color w:val="595959" w:themeColor="text1" w:themeTint="a6"/>
          <w:lang w:val="pt-BR"/>
        </w:rPr>
        <w:t>DOSSIÊ dos assassinatos e da violência contra travestis e transexuais brasileiras em 2019</w:t>
      </w:r>
      <w:r>
        <w:rPr>
          <w:color w:val="595959" w:themeColor="text1" w:themeTint="a6"/>
          <w:lang w:val="pt-BR"/>
        </w:rPr>
        <w:t xml:space="preserve"> /</w:t>
      </w:r>
      <w:r>
        <w:rPr>
          <w:b/>
          <w:color w:val="595959" w:themeColor="text1" w:themeTint="a6"/>
          <w:lang w:val="pt-BR"/>
        </w:rPr>
        <w:t xml:space="preserve"> </w:t>
      </w:r>
      <w:r>
        <w:rPr>
          <w:color w:val="595959" w:themeColor="text1" w:themeTint="a6"/>
          <w:lang w:val="pt-BR"/>
        </w:rPr>
        <w:t>Bruna G. Benevides, Sayonara Naider Bonfim Nogueira (Orgs). – São Paulo: Expressão Popular, ANTRA, IBTE, 2020 80p.</w:t>
      </w:r>
    </w:p>
    <w:p>
      <w:pPr>
        <w:pStyle w:val="Corpodotexto"/>
        <w:ind w:left="2835" w:hanging="0"/>
        <w:rPr>
          <w:color w:val="595959" w:themeColor="text1" w:themeTint="a6"/>
          <w:lang w:val="pt-BR"/>
        </w:rPr>
      </w:pPr>
      <w:r>
        <w:rPr>
          <w:color w:val="595959" w:themeColor="text1" w:themeTint="a6"/>
          <w:lang w:val="pt-BR"/>
        </w:rPr>
        <w:t>FOUCAULT, Michel.</w:t>
      </w:r>
      <w:r>
        <w:rPr>
          <w:b/>
          <w:color w:val="595959" w:themeColor="text1" w:themeTint="a6"/>
          <w:lang w:val="pt-BR"/>
        </w:rPr>
        <w:t xml:space="preserve"> História da sexualidade I: a vontade de saber</w:t>
      </w:r>
      <w:r>
        <w:rPr>
          <w:color w:val="595959" w:themeColor="text1" w:themeTint="a6"/>
          <w:lang w:val="pt-BR"/>
        </w:rPr>
        <w:t xml:space="preserve">. Tradução de Maria Thereza da Costa Albuquerque e J. A. Guilhon Albuquerque. Rio de Janeiro, Edições Graal, (1988). 13ª Edição, 1999. </w:t>
      </w:r>
    </w:p>
    <w:p>
      <w:pPr>
        <w:pStyle w:val="Corpodotexto"/>
        <w:ind w:left="2835" w:hanging="0"/>
        <w:rPr>
          <w:b/>
          <w:b/>
          <w:color w:val="595959" w:themeColor="text1" w:themeTint="a6"/>
          <w:lang w:val="pt-BR"/>
        </w:rPr>
      </w:pPr>
      <w:r>
        <w:rPr>
          <w:color w:val="595959" w:themeColor="text1" w:themeTint="a6"/>
          <w:lang w:val="pt-BR"/>
        </w:rPr>
        <w:t>FOUCAULT, Michel.</w:t>
      </w:r>
      <w:r>
        <w:rPr>
          <w:b/>
          <w:color w:val="595959" w:themeColor="text1" w:themeTint="a6"/>
          <w:lang w:val="pt-BR"/>
        </w:rPr>
        <w:t xml:space="preserve"> Microfísica do poder. </w:t>
      </w:r>
      <w:r>
        <w:rPr>
          <w:color w:val="595959" w:themeColor="text1" w:themeTint="a6"/>
          <w:lang w:val="pt-BR"/>
        </w:rPr>
        <w:t>Organização e tradução de Roberto Machado. – Rio de Janeiro: Edições Graal, (1979). 13ª Edição, 1998.</w:t>
      </w:r>
      <w:r>
        <w:rPr>
          <w:b/>
          <w:color w:val="595959" w:themeColor="text1" w:themeTint="a6"/>
          <w:lang w:val="pt-BR"/>
        </w:rPr>
        <w:t xml:space="preserve"> </w:t>
      </w:r>
    </w:p>
    <w:p>
      <w:pPr>
        <w:pStyle w:val="Corpodotexto"/>
        <w:ind w:left="2835" w:hanging="0"/>
        <w:rPr>
          <w:color w:val="595959" w:themeColor="text1" w:themeTint="a6"/>
          <w:lang w:val="pt-BR"/>
        </w:rPr>
      </w:pPr>
      <w:r>
        <w:rPr>
          <w:color w:val="595959" w:themeColor="text1" w:themeTint="a6"/>
          <w:lang w:val="pt-BR"/>
        </w:rPr>
        <w:t>FOUCAULT, Michel (1926-1984).</w:t>
      </w:r>
      <w:r>
        <w:rPr>
          <w:b/>
          <w:color w:val="595959" w:themeColor="text1" w:themeTint="a6"/>
          <w:lang w:val="pt-BR"/>
        </w:rPr>
        <w:t xml:space="preserve"> Em defesa da sociedade: curso no Collège de France (1975-1976). </w:t>
      </w:r>
      <w:r>
        <w:rPr>
          <w:color w:val="595959" w:themeColor="text1" w:themeTint="a6"/>
          <w:lang w:val="pt-BR"/>
        </w:rPr>
        <w:t>Tradução de Maria Ermantina Galvão. –  1ª ed: 1999, 4ª ed: 2005. – São Paulo: Martins Fontes. (Coleção tópicos).</w:t>
      </w:r>
    </w:p>
    <w:p>
      <w:pPr>
        <w:pStyle w:val="Corpodotexto"/>
        <w:ind w:left="2835" w:hanging="0"/>
        <w:rPr>
          <w:color w:val="595959" w:themeColor="text1" w:themeTint="a6"/>
          <w:lang w:val="pt-BR"/>
        </w:rPr>
      </w:pPr>
      <w:r>
        <w:rPr>
          <w:color w:val="595959" w:themeColor="text1" w:themeTint="a6"/>
          <w:lang w:val="pt-BR"/>
        </w:rPr>
        <w:t xml:space="preserve">FOUCAULT, Michel. </w:t>
      </w:r>
      <w:r>
        <w:rPr>
          <w:b/>
          <w:color w:val="595959" w:themeColor="text1" w:themeTint="a6"/>
          <w:lang w:val="pt-BR"/>
        </w:rPr>
        <w:t>O sujeito e o poder</w:t>
      </w:r>
      <w:r>
        <w:rPr>
          <w:color w:val="595959" w:themeColor="text1" w:themeTint="a6"/>
          <w:lang w:val="pt-BR"/>
        </w:rPr>
        <w:t xml:space="preserve">. In: Hubert L. Dreyfus e Paul Rabinow. MICHEL FOUCAULT. Uma Trajetória Filosófica. Para Além do estruturalismo e da hermenêutica. 2ª. Edição Revista. Rio de Janeiro: Forense Universitária, 2009. Disponível em: </w:t>
      </w:r>
      <w:hyperlink r:id="rId5">
        <w:r>
          <w:rPr>
            <w:rStyle w:val="LinkdaInternet"/>
            <w:lang w:val="pt-BR"/>
          </w:rPr>
          <w:t>https://faccaoficticia.noblogs.org/files/2015/08/O-Sujeito-e-o-PoderFoucalt.cleaned.pdf</w:t>
        </w:r>
      </w:hyperlink>
      <w:r>
        <w:rPr>
          <w:color w:val="595959" w:themeColor="text1" w:themeTint="a6"/>
          <w:lang w:val="pt-BR"/>
        </w:rPr>
        <w:t xml:space="preserve">.  Acesso em: 24 Ago/2019. </w:t>
      </w:r>
    </w:p>
    <w:p>
      <w:pPr>
        <w:pStyle w:val="Corpodotexto"/>
        <w:ind w:left="2835" w:hanging="0"/>
        <w:rPr>
          <w:color w:val="595959" w:themeColor="text1" w:themeTint="a6"/>
          <w:lang w:val="pt-BR"/>
        </w:rPr>
      </w:pPr>
      <w:r>
        <w:rPr>
          <w:color w:val="595959" w:themeColor="text1" w:themeTint="a6"/>
          <w:lang w:val="pt-BR"/>
        </w:rPr>
        <w:t>FOUCAULT, Michel (1982).</w:t>
      </w:r>
      <w:r>
        <w:rPr>
          <w:b/>
          <w:color w:val="595959" w:themeColor="text1" w:themeTint="a6"/>
          <w:lang w:val="pt-BR"/>
        </w:rPr>
        <w:t xml:space="preserve"> Tecnologias de si. </w:t>
      </w:r>
      <w:r>
        <w:rPr>
          <w:color w:val="595959" w:themeColor="text1" w:themeTint="a6"/>
          <w:lang w:val="pt-BR"/>
        </w:rPr>
        <w:t xml:space="preserve">Verve, 6: 301-360. 2004. Disponível em: </w:t>
      </w:r>
      <w:hyperlink r:id="rId6">
        <w:r>
          <w:rPr>
            <w:rStyle w:val="LinkdaInternet"/>
            <w:lang w:val="pt-BR"/>
          </w:rPr>
          <w:t>https://revistas.pucsp.br/verve/article/view/5017/3559</w:t>
        </w:r>
      </w:hyperlink>
      <w:r>
        <w:rPr>
          <w:color w:val="595959" w:themeColor="text1" w:themeTint="a6"/>
          <w:lang w:val="pt-BR"/>
        </w:rPr>
        <w:t>. Acesso em: 18 Mar.2020.</w:t>
      </w:r>
    </w:p>
    <w:p>
      <w:pPr>
        <w:pStyle w:val="Corpodotexto"/>
        <w:ind w:left="2835" w:hanging="0"/>
        <w:rPr>
          <w:color w:val="595959" w:themeColor="text1" w:themeTint="a6"/>
          <w:lang w:val="pt-BR"/>
        </w:rPr>
      </w:pPr>
      <w:r>
        <w:rPr>
          <w:color w:val="595959" w:themeColor="text1" w:themeTint="a6"/>
          <w:lang w:val="pt-BR"/>
        </w:rPr>
        <w:t>FOUCAULT, Michel.</w:t>
      </w:r>
      <w:r>
        <w:rPr>
          <w:b/>
          <w:color w:val="595959" w:themeColor="text1" w:themeTint="a6"/>
          <w:lang w:val="pt-BR"/>
        </w:rPr>
        <w:t xml:space="preserve"> Vigiar e Punir: nascimento da prisão. </w:t>
      </w:r>
      <w:r>
        <w:rPr>
          <w:color w:val="595959" w:themeColor="text1" w:themeTint="a6"/>
          <w:lang w:val="pt-BR"/>
        </w:rPr>
        <w:t xml:space="preserve">Tradução de Raquel Ramalhete. Petrópolis, Vozes, 1987. 288p. </w:t>
      </w:r>
    </w:p>
    <w:p>
      <w:pPr>
        <w:pStyle w:val="Corpodotexto"/>
        <w:ind w:left="2835" w:hanging="0"/>
        <w:rPr>
          <w:color w:val="595959" w:themeColor="text1" w:themeTint="a6"/>
          <w:lang w:val="pt-BR"/>
        </w:rPr>
      </w:pPr>
      <w:r>
        <w:rPr>
          <w:color w:val="595959" w:themeColor="text1" w:themeTint="a6"/>
          <w:lang w:val="pt-BR"/>
        </w:rPr>
        <w:t xml:space="preserve">JESUS, Jaqueline Gomes de. </w:t>
      </w:r>
      <w:r>
        <w:rPr>
          <w:b/>
          <w:color w:val="595959" w:themeColor="text1" w:themeTint="a6"/>
          <w:lang w:val="pt-BR"/>
        </w:rPr>
        <w:t xml:space="preserve">IDENTIDADE DE GÊNERO E POLÍTICAS DE AFIRMAÇÃO IDENTITÁRIA. </w:t>
      </w:r>
      <w:r>
        <w:rPr>
          <w:color w:val="595959" w:themeColor="text1" w:themeTint="a6"/>
          <w:lang w:val="pt-BR"/>
        </w:rPr>
        <w:t xml:space="preserve">In: VI Congresso Internacional de Estudos Sobre a Diversidade Sexual e de Gênero da ABEH. Salvador – BA. 2012. Disponível em: </w:t>
      </w:r>
      <w:hyperlink r:id="rId7">
        <w:r>
          <w:rPr>
            <w:rStyle w:val="LinkdaInternet"/>
            <w:lang w:val="pt-BR"/>
          </w:rPr>
          <w:t>https://www.academia.edu/2387654/IDENTIDADE_DE_G%C3%8ANERO_E_POL%C3%8DTICAS_DE_AFIRMA%C3%87%C3%83O_IDENTIT%C3%81RIA</w:t>
        </w:r>
      </w:hyperlink>
      <w:r>
        <w:rPr>
          <w:color w:val="595959" w:themeColor="text1" w:themeTint="a6"/>
          <w:lang w:val="pt-BR"/>
        </w:rPr>
        <w:t xml:space="preserve">. Acesso em: 12 Mar. 2020. </w:t>
      </w:r>
    </w:p>
    <w:p>
      <w:pPr>
        <w:pStyle w:val="Corpodotexto"/>
        <w:ind w:left="2835" w:hanging="0"/>
        <w:rPr>
          <w:color w:val="595959" w:themeColor="text1" w:themeTint="a6"/>
          <w:lang w:val="pt-BR"/>
        </w:rPr>
      </w:pPr>
      <w:r>
        <w:rPr>
          <w:color w:val="595959" w:themeColor="text1" w:themeTint="a6"/>
          <w:lang w:val="pt-BR"/>
        </w:rPr>
        <w:t xml:space="preserve">LANZ, Letícia. </w:t>
      </w:r>
      <w:r>
        <w:rPr>
          <w:b/>
          <w:color w:val="595959" w:themeColor="text1" w:themeTint="a6"/>
          <w:lang w:val="pt-BR"/>
        </w:rPr>
        <w:t>O corpo da roupa: a pessoa transgênera entre a conformidade e a transgressão das normas de gênero</w:t>
      </w:r>
      <w:r>
        <w:rPr>
          <w:color w:val="595959" w:themeColor="text1" w:themeTint="a6"/>
          <w:lang w:val="pt-BR"/>
        </w:rPr>
        <w:t>. Uma introdução aos estudos transgêneros. 2ª edição. Curitiba: Movimento Transgente, 2017. 456p.</w:t>
      </w:r>
    </w:p>
    <w:p>
      <w:pPr>
        <w:pStyle w:val="Corpodotexto"/>
        <w:ind w:left="2835" w:hanging="0"/>
        <w:rPr>
          <w:color w:val="595959" w:themeColor="text1" w:themeTint="a6"/>
          <w:lang w:val="pt-BR"/>
        </w:rPr>
      </w:pPr>
      <w:r>
        <w:rPr>
          <w:color w:val="595959" w:themeColor="text1" w:themeTint="a6"/>
          <w:lang w:val="pt-BR"/>
        </w:rPr>
        <w:t xml:space="preserve">LAURETIS, Teresa De. </w:t>
      </w:r>
      <w:r>
        <w:rPr>
          <w:b/>
          <w:color w:val="595959" w:themeColor="text1" w:themeTint="a6"/>
          <w:lang w:val="pt-BR"/>
        </w:rPr>
        <w:t>A tecnologia do gênero</w:t>
      </w:r>
      <w:r>
        <w:rPr>
          <w:color w:val="595959" w:themeColor="text1" w:themeTint="a6"/>
          <w:lang w:val="pt-BR"/>
        </w:rPr>
        <w:t>. Tradução de Suzana Funck. In: HOLLANDA, Heloisa (Org.). Tendências e impasses: o feminismo como crítica da cultura. Rio de Janeiro: Rocco, 1994. p. 206-242.</w:t>
      </w:r>
    </w:p>
    <w:p>
      <w:pPr>
        <w:pStyle w:val="Corpodotexto"/>
        <w:ind w:left="2835" w:hanging="0"/>
        <w:rPr>
          <w:color w:val="595959" w:themeColor="text1" w:themeTint="a6"/>
          <w:lang w:val="pt-BR"/>
        </w:rPr>
      </w:pPr>
      <w:r>
        <w:rPr>
          <w:color w:val="595959" w:themeColor="text1" w:themeTint="a6"/>
          <w:lang w:val="pt-BR"/>
        </w:rPr>
        <w:t>LOURO, Guacira Lopes.</w:t>
      </w:r>
      <w:r>
        <w:rPr>
          <w:b/>
          <w:color w:val="595959" w:themeColor="text1" w:themeTint="a6"/>
          <w:lang w:val="pt-BR"/>
        </w:rPr>
        <w:t xml:space="preserve"> Um corpo estranho: ensaios sobre a sexualidade e teoria queer. </w:t>
      </w:r>
      <w:r>
        <w:rPr>
          <w:color w:val="595959" w:themeColor="text1" w:themeTint="a6"/>
          <w:lang w:val="pt-BR"/>
        </w:rPr>
        <w:t xml:space="preserve">Belo Horizonte. Autentica Editora. 2004. 92p. </w:t>
      </w:r>
    </w:p>
    <w:p>
      <w:pPr>
        <w:pStyle w:val="Corpodotexto"/>
        <w:ind w:left="2835" w:hanging="0"/>
        <w:rPr>
          <w:color w:val="595959" w:themeColor="text1" w:themeTint="a6"/>
          <w:lang w:val="pt-BR"/>
        </w:rPr>
      </w:pPr>
      <w:r>
        <w:rPr>
          <w:color w:val="595959" w:themeColor="text1" w:themeTint="a6"/>
          <w:lang w:val="pt-BR"/>
        </w:rPr>
        <w:t xml:space="preserve">LOURO, Guacira Lopes. </w:t>
      </w:r>
      <w:r>
        <w:rPr>
          <w:b/>
          <w:color w:val="595959" w:themeColor="text1" w:themeTint="a6"/>
          <w:lang w:val="pt-BR"/>
        </w:rPr>
        <w:t>Teoria queer: uma política pós-identitária para a educação. </w:t>
      </w:r>
      <w:r>
        <w:rPr>
          <w:color w:val="595959" w:themeColor="text1" w:themeTint="a6"/>
          <w:lang w:val="pt-BR"/>
        </w:rPr>
        <w:t xml:space="preserve">Rev. Estud. Fem., Florianópolis, v. 9, n. 2, p. 541-553, 2001. Disponível em: </w:t>
      </w:r>
      <w:hyperlink r:id="rId8">
        <w:r>
          <w:rPr>
            <w:rStyle w:val="LinkdaInternet"/>
            <w:lang w:val="pt-BR"/>
          </w:rPr>
          <w:t>http://www.scielo.br/scielo.php?script=sci_arttext&amp;pid=S0104026X2001000200012&amp;lng=en&amp;nrm=iso</w:t>
        </w:r>
      </w:hyperlink>
      <w:r>
        <w:rPr>
          <w:color w:val="595959" w:themeColor="text1" w:themeTint="a6"/>
          <w:lang w:val="pt-BR"/>
        </w:rPr>
        <w:t xml:space="preserve">.  Acesso em: 03 Mar.  2020.   </w:t>
      </w:r>
    </w:p>
    <w:p>
      <w:pPr>
        <w:pStyle w:val="Corpodotexto"/>
        <w:ind w:left="2835" w:hanging="0"/>
        <w:rPr>
          <w:color w:val="595959" w:themeColor="text1" w:themeTint="a6"/>
          <w:lang w:val="pt-BR"/>
        </w:rPr>
      </w:pPr>
      <w:r>
        <w:rPr>
          <w:color w:val="595959" w:themeColor="text1" w:themeTint="a6"/>
          <w:lang w:val="pt-BR"/>
        </w:rPr>
        <w:t xml:space="preserve">NERY, João W. </w:t>
      </w:r>
      <w:r>
        <w:rPr>
          <w:b/>
          <w:color w:val="595959" w:themeColor="text1" w:themeTint="a6"/>
          <w:lang w:val="pt-BR"/>
        </w:rPr>
        <w:t>Transmasculinidades: invisibilidade e luta</w:t>
      </w:r>
      <w:r>
        <w:rPr>
          <w:color w:val="595959" w:themeColor="text1" w:themeTint="a6"/>
          <w:lang w:val="pt-BR"/>
        </w:rPr>
        <w:t>. In: História do Movimento LGBT no Brasil / organização James N. Green, Renan Quinalha, Marcio Caetano, Marisa Fernandes. – 1. Ed. – São Paulo: Alameda, 2018. 536 p.</w:t>
      </w:r>
    </w:p>
    <w:p>
      <w:pPr>
        <w:pStyle w:val="Corpodotexto"/>
        <w:ind w:left="2835" w:hanging="0"/>
        <w:rPr>
          <w:color w:val="595959" w:themeColor="text1" w:themeTint="a6"/>
          <w:lang w:val="pt-BR"/>
        </w:rPr>
      </w:pPr>
      <w:r>
        <w:rPr>
          <w:color w:val="595959" w:themeColor="text1" w:themeTint="a6"/>
          <w:lang w:val="pt-BR"/>
        </w:rPr>
        <w:t xml:space="preserve">PRECIADO, Paul. </w:t>
      </w:r>
      <w:r>
        <w:rPr>
          <w:b/>
          <w:color w:val="595959" w:themeColor="text1" w:themeTint="a6"/>
          <w:lang w:val="pt-BR"/>
        </w:rPr>
        <w:t>Manifesto contrassexual</w:t>
      </w:r>
      <w:r>
        <w:rPr>
          <w:color w:val="595959" w:themeColor="text1" w:themeTint="a6"/>
          <w:lang w:val="pt-BR"/>
        </w:rPr>
        <w:t xml:space="preserve">. Tradução de Maria Paula Gurgel Ribeiro. São Paulo: nº 1, edições, 2014. </w:t>
      </w:r>
    </w:p>
    <w:p>
      <w:pPr>
        <w:pStyle w:val="Corpodotexto"/>
        <w:ind w:left="2835" w:hanging="0"/>
        <w:rPr>
          <w:color w:val="595959" w:themeColor="text1" w:themeTint="a6"/>
          <w:lang w:val="pt-BR"/>
        </w:rPr>
      </w:pPr>
      <w:r>
        <w:rPr>
          <w:color w:val="595959" w:themeColor="text1" w:themeTint="a6"/>
          <w:lang w:val="pt-BR"/>
        </w:rPr>
        <w:t>PRECIADO, B.</w:t>
      </w:r>
      <w:r>
        <w:rPr>
          <w:b/>
          <w:color w:val="595959" w:themeColor="text1" w:themeTint="a6"/>
          <w:lang w:val="pt-BR"/>
        </w:rPr>
        <w:t xml:space="preserve"> Multidões queer: notas para uma política dos "anormais". </w:t>
      </w:r>
      <w:r>
        <w:rPr>
          <w:color w:val="595959" w:themeColor="text1" w:themeTint="a6"/>
          <w:lang w:val="pt-BR"/>
        </w:rPr>
        <w:t xml:space="preserve">Rev. Estud. Fem., Florianópolis, v.19, n. 1, p. 11-20, Apr.  2011.   Disponível em: </w:t>
      </w:r>
      <w:hyperlink r:id="rId9">
        <w:r>
          <w:rPr>
            <w:rStyle w:val="LinkdaInternet"/>
            <w:lang w:val="pt-BR"/>
          </w:rPr>
          <w:t>http://www.scielo.br/scielo.php?script=sci_arttext&amp;pid=S0104026X2011000100002&amp;lng=en&amp;nrm=iso</w:t>
        </w:r>
      </w:hyperlink>
      <w:r>
        <w:rPr>
          <w:color w:val="595959" w:themeColor="text1" w:themeTint="a6"/>
          <w:lang w:val="pt-BR"/>
        </w:rPr>
        <w:t>.  Acesso em: 23 Mar. 2020. </w:t>
      </w:r>
    </w:p>
    <w:p>
      <w:pPr>
        <w:pStyle w:val="Corpodotexto"/>
        <w:ind w:left="2835" w:hanging="0"/>
        <w:rPr>
          <w:color w:val="595959" w:themeColor="text1" w:themeTint="a6"/>
          <w:lang w:val="pt-BR"/>
        </w:rPr>
      </w:pPr>
      <w:r>
        <w:rPr>
          <w:color w:val="595959" w:themeColor="text1" w:themeTint="a6"/>
          <w:lang w:val="pt-BR"/>
        </w:rPr>
        <w:t xml:space="preserve">PRECIADO, Paul B. </w:t>
      </w:r>
      <w:r>
        <w:rPr>
          <w:b/>
          <w:color w:val="595959" w:themeColor="text1" w:themeTint="a6"/>
          <w:lang w:val="pt-BR"/>
        </w:rPr>
        <w:t>“One day we’ll see assigning gender at birth as brutal”.</w:t>
      </w:r>
      <w:r>
        <w:rPr>
          <w:color w:val="595959" w:themeColor="text1" w:themeTint="a6"/>
          <w:lang w:val="pt-BR"/>
        </w:rPr>
        <w:t xml:space="preserve"> Revista online I-D Vice. Tradução: Sara Wagner York. 2020. Disponível em: </w:t>
      </w:r>
      <w:hyperlink r:id="rId10">
        <w:r>
          <w:rPr>
            <w:rStyle w:val="LinkdaInternet"/>
            <w:lang w:val="pt-BR"/>
          </w:rPr>
          <w:t>https://i-d.vice.com/en_uk/article/jgeb4b/paul-b-preciado-one-day-well-see-assigning-gender-at-birth-as-brutal</w:t>
        </w:r>
      </w:hyperlink>
      <w:r>
        <w:rPr>
          <w:color w:val="595959" w:themeColor="text1" w:themeTint="a6"/>
          <w:lang w:val="pt-BR"/>
        </w:rPr>
        <w:t xml:space="preserve">. Acesso em: 18 Mar. 2020. </w:t>
      </w:r>
    </w:p>
    <w:p>
      <w:pPr>
        <w:pStyle w:val="Corpodotexto"/>
        <w:ind w:left="2835" w:hanging="0"/>
        <w:rPr>
          <w:color w:val="595959" w:themeColor="text1" w:themeTint="a6"/>
          <w:lang w:val="pt-BR"/>
        </w:rPr>
      </w:pPr>
      <w:r>
        <w:rPr>
          <w:color w:val="595959" w:themeColor="text1" w:themeTint="a6"/>
          <w:lang w:val="pt-BR"/>
        </w:rPr>
        <w:t xml:space="preserve">REDE NACIONAL DE PESSOAS TRANS DO BRASIL (REDE TRANS BRASIL). </w:t>
      </w:r>
      <w:r>
        <w:rPr>
          <w:b/>
          <w:color w:val="595959" w:themeColor="text1" w:themeTint="a6"/>
          <w:lang w:val="pt-BR"/>
        </w:rPr>
        <w:t>A Exclusão das Identidades e das Existências de Pessoas Trans</w:t>
      </w:r>
      <w:r>
        <w:rPr>
          <w:color w:val="595959" w:themeColor="text1" w:themeTint="a6"/>
          <w:lang w:val="pt-BR"/>
        </w:rPr>
        <w:t xml:space="preserve"> – da Morte Social à Morte Física – Monitoramento: Assassinatos e Violação de Direitos Humanos de Pessoas Trans no Brasil – Dossiê, 2019. </w:t>
      </w:r>
    </w:p>
    <w:p>
      <w:pPr>
        <w:pStyle w:val="Corpodotexto"/>
        <w:ind w:left="2835" w:hanging="0"/>
        <w:rPr>
          <w:color w:val="595959" w:themeColor="text1" w:themeTint="a6"/>
          <w:lang w:val="pt-BR"/>
        </w:rPr>
      </w:pPr>
      <w:r>
        <w:rPr>
          <w:color w:val="595959" w:themeColor="text1" w:themeTint="a6"/>
          <w:lang w:val="pt-BR"/>
        </w:rPr>
        <w:t>SCOTT, Joan Wallach.</w:t>
      </w:r>
      <w:r>
        <w:rPr>
          <w:b/>
          <w:color w:val="595959" w:themeColor="text1" w:themeTint="a6"/>
          <w:lang w:val="pt-BR"/>
        </w:rPr>
        <w:t xml:space="preserve"> Gênero: uma categoria útil de análise histórica. </w:t>
      </w:r>
      <w:r>
        <w:rPr>
          <w:i/>
          <w:color w:val="595959" w:themeColor="text1" w:themeTint="a6"/>
          <w:lang w:val="pt-BR"/>
        </w:rPr>
        <w:t>Educação &amp; Realidade</w:t>
      </w:r>
      <w:r>
        <w:rPr>
          <w:color w:val="595959" w:themeColor="text1" w:themeTint="a6"/>
          <w:lang w:val="pt-BR"/>
        </w:rPr>
        <w:t xml:space="preserve">. Porto Alegre, vol. 20, nº 2, jul./dez. 1995, pp. 71-99. Disponível em: </w:t>
      </w:r>
      <w:hyperlink r:id="rId11">
        <w:r>
          <w:rPr>
            <w:rStyle w:val="LinkdaInternet"/>
            <w:lang w:val="pt-BR"/>
          </w:rPr>
          <w:t>https://seer.ufrgs.br/educacaoerealidade/article/view/71721/40667</w:t>
        </w:r>
      </w:hyperlink>
      <w:r>
        <w:rPr>
          <w:color w:val="595959" w:themeColor="text1" w:themeTint="a6"/>
          <w:lang w:val="pt-BR"/>
        </w:rPr>
        <w:t xml:space="preserve">. Acesso: 19 Jun. 2017. </w:t>
      </w:r>
    </w:p>
    <w:p>
      <w:pPr>
        <w:pStyle w:val="Corpodotexto"/>
        <w:ind w:left="2835" w:hanging="0"/>
        <w:rPr>
          <w:color w:val="595959" w:themeColor="text1" w:themeTint="a6"/>
          <w:lang w:val="pt-BR"/>
        </w:rPr>
      </w:pPr>
      <w:r>
        <w:rPr>
          <w:color w:val="595959" w:themeColor="text1" w:themeTint="a6"/>
          <w:lang w:val="pt-BR"/>
        </w:rPr>
      </w:r>
    </w:p>
    <w:p>
      <w:pPr>
        <w:pStyle w:val="Referencias"/>
        <w:rPr/>
      </w:pPr>
      <w:r>
        <w:rPr/>
      </w:r>
    </w:p>
    <w:p>
      <w:pPr>
        <w:pStyle w:val="Referencias"/>
        <w:rPr/>
      </w:pPr>
      <w:r>
        <w:rPr/>
      </w:r>
    </w:p>
    <w:p>
      <w:pPr>
        <w:pStyle w:val="Referencias"/>
        <w:rPr/>
      </w:pPr>
      <w:r>
        <w:rPr/>
      </w:r>
    </w:p>
    <w:p>
      <w:pPr>
        <w:pStyle w:val="Referencias"/>
        <w:rPr/>
      </w:pPr>
      <w:r>
        <w:rPr/>
      </w:r>
    </w:p>
    <w:p>
      <w:pPr>
        <w:pStyle w:val="Referencias"/>
        <w:rPr/>
      </w:pPr>
      <w:r>
        <w:rPr/>
      </w:r>
    </w:p>
    <w:p>
      <w:pPr>
        <w:pStyle w:val="Referencias"/>
        <w:rPr/>
      </w:pPr>
      <w:r>
        <w:rPr/>
      </w:r>
    </w:p>
    <w:tbl>
      <w:tblPr>
        <w:tblStyle w:val="Tabelacomgrade"/>
        <w:tblW w:w="7371" w:type="dxa"/>
        <w:jc w:val="left"/>
        <w:tblInd w:w="2830" w:type="dxa"/>
        <w:tblCellMar>
          <w:top w:w="284" w:type="dxa"/>
          <w:left w:w="284" w:type="dxa"/>
          <w:bottom w:w="284" w:type="dxa"/>
          <w:right w:w="284" w:type="dxa"/>
        </w:tblCellMar>
        <w:tblLook w:firstRow="1" w:noVBand="1" w:lastRow="0" w:firstColumn="1" w:lastColumn="0" w:noHBand="0" w:val="04a0"/>
      </w:tblPr>
      <w:tblGrid>
        <w:gridCol w:w="7371"/>
      </w:tblGrid>
      <w:tr>
        <w:trPr>
          <w:trHeight w:val="1124" w:hRule="atLeast"/>
        </w:trPr>
        <w:tc>
          <w:tcPr>
            <w:tcW w:w="7371" w:type="dxa"/>
            <w:tcBorders>
              <w:top w:val="single" w:sz="4" w:space="0" w:color="533301"/>
              <w:left w:val="single" w:sz="4" w:space="0" w:color="533301"/>
              <w:bottom w:val="single" w:sz="4" w:space="0" w:color="533301"/>
              <w:right w:val="single" w:sz="4" w:space="0" w:color="533301"/>
            </w:tcBorders>
            <w:vAlign w:val="center"/>
          </w:tcPr>
          <w:p>
            <w:pPr>
              <w:pStyle w:val="Creditos"/>
              <w:rPr>
                <w:rStyle w:val="Creditoanteposto"/>
              </w:rPr>
            </w:pPr>
            <w:r>
              <w:rPr>
                <w:rStyle w:val="Creditoanteposto"/>
              </w:rPr>
              <w:t xml:space="preserve">Recebido: </w:t>
            </w:r>
            <w:r>
              <w:rPr/>
              <w:t>xxxx.</w:t>
            </w:r>
          </w:p>
          <w:p>
            <w:pPr>
              <w:pStyle w:val="Creditos"/>
              <w:rPr/>
            </w:pPr>
            <w:r>
              <w:rPr>
                <w:rStyle w:val="Creditoanteposto"/>
              </w:rPr>
              <w:t xml:space="preserve">Aprovado: </w:t>
            </w:r>
            <w:r>
              <w:rPr/>
              <w:t>xxxx.</w:t>
            </w:r>
          </w:p>
          <w:p>
            <w:pPr>
              <w:pStyle w:val="Creditos"/>
              <w:rPr/>
            </w:pPr>
            <w:r>
              <w:rPr>
                <w:rStyle w:val="Creditoanteposto"/>
              </w:rPr>
              <w:t xml:space="preserve">DOI: </w:t>
            </w:r>
            <w:r>
              <w:rPr/>
              <w:t>10.3895/cgt.vxxnxx.xxxx.</w:t>
            </w:r>
          </w:p>
          <w:p>
            <w:pPr>
              <w:pStyle w:val="Creditos"/>
              <w:rPr/>
            </w:pPr>
            <w:r>
              <w:rPr>
                <w:rStyle w:val="Creditoanteposto"/>
              </w:rPr>
              <w:t xml:space="preserve">Como citar: </w:t>
            </w:r>
            <w:r>
              <w:rPr/>
              <w:t xml:space="preserve">xxxx. </w:t>
            </w:r>
            <w:r>
              <w:rPr>
                <w:b/>
              </w:rPr>
              <w:t>Cad. Gên. Tecnol.</w:t>
            </w:r>
            <w:r>
              <w:rPr/>
              <w:t xml:space="preserve">, Curitiba, xxxx. Disponível em: </w:t>
            </w:r>
            <w:hyperlink r:id="rId12">
              <w:r>
                <w:rPr>
                  <w:rStyle w:val="LinkdaInternet"/>
                  <w:color w:val="0679EE" w:themeColor="hyperlink" w:themeTint="d9"/>
                  <w14:textFill>
                    <w14:solidFill>
                      <w14:schemeClr w14:val="hlink">
                        <w14:lumMod w14:val="85000"/>
                        <w14:lumOff w14:val="15000"/>
                        <w14:lumMod w14:val="85000"/>
                        <w14:lumOff w14:val="15000"/>
                      </w14:schemeClr>
                    </w14:solidFill>
                  </w14:textFill>
                </w:rPr>
                <w:t>https://periodicos.utfpr.edu.br/cgt</w:t>
              </w:r>
            </w:hyperlink>
            <w:r>
              <w:rPr/>
              <w:t>. Acesso em: XXX.</w:t>
            </w:r>
          </w:p>
          <w:p>
            <w:pPr>
              <w:pStyle w:val="Creditos"/>
              <w:rPr>
                <w:rStyle w:val="Creditoanteposto"/>
              </w:rPr>
            </w:pPr>
            <w:r>
              <w:rPr>
                <w:rStyle w:val="Creditoanteposto"/>
              </w:rPr>
              <w:t xml:space="preserve">Correspondência: </w:t>
            </w:r>
          </w:p>
          <w:p>
            <w:pPr>
              <w:pStyle w:val="Creditos"/>
              <w:rPr>
                <w:rStyle w:val="Creditoanteposto"/>
                <w:b w:val="false"/>
                <w:b w:val="false"/>
                <w:color w:val="575757"/>
                <w14:textFill>
                  <w14:solidFill>
                    <w14:srgbClr w14:val="575757">
                      <w14:lumMod w14:val="85000"/>
                      <w14:lumOff w14:val="15000"/>
                    </w14:srgbClr>
                  </w14:solidFill>
                </w14:textFill>
              </w:rPr>
            </w:pPr>
            <w:r>
              <w:rPr>
                <w:rStyle w:val="Creditoanteposto"/>
                <w:b w:val="false"/>
                <w:color w:val="575757"/>
                <w14:textFill>
                  <w14:solidFill>
                    <w14:srgbClr w14:val="575757">
                      <w14:lumMod w14:val="85000"/>
                      <w14:lumOff w14:val="15000"/>
                    </w14:srgbClr>
                  </w14:solidFill>
                </w14:textFill>
              </w:rPr>
              <w:t>Nome por extenso do autor principal</w:t>
            </w:r>
          </w:p>
          <w:p>
            <w:pPr>
              <w:pStyle w:val="Creditos"/>
              <w:rPr>
                <w:rStyle w:val="Creditoanteposto"/>
                <w:b w:val="false"/>
                <w:b w:val="false"/>
                <w:color w:val="575757"/>
                <w14:textFill>
                  <w14:solidFill>
                    <w14:srgbClr w14:val="575757">
                      <w14:lumMod w14:val="85000"/>
                      <w14:lumOff w14:val="15000"/>
                    </w14:srgbClr>
                  </w14:solidFill>
                </w14:textFill>
              </w:rPr>
            </w:pPr>
            <w:r>
              <w:rPr>
                <w:rStyle w:val="Creditoanteposto"/>
                <w:b w:val="false"/>
                <w:color w:val="575757"/>
                <w14:textFill>
                  <w14:solidFill>
                    <w14:srgbClr w14:val="575757">
                      <w14:lumMod w14:val="85000"/>
                      <w14:lumOff w14:val="15000"/>
                    </w14:srgbClr>
                  </w14:solidFill>
                </w14:textFill>
              </w:rPr>
              <w:t xml:space="preserve">Rua xxx, número xxx, Bairro xxx, Cidade, Estado, País. </w:t>
            </w:r>
          </w:p>
          <w:p>
            <w:pPr>
              <w:pStyle w:val="Creditos"/>
              <w:rPr>
                <w:rStyle w:val="Creditoanteposto"/>
              </w:rPr>
            </w:pPr>
            <w:r>
              <w:rPr>
                <w:rStyle w:val="Creditoanteposto"/>
              </w:rPr>
              <w:t xml:space="preserve">Direito autoral: </w:t>
            </w:r>
            <w:r>
              <w:rPr/>
              <w:t>Este artigo está licenciado sob os termos da Licença Creative Commons-Atribuição 4.0 Internacional.</w:t>
            </w:r>
          </w:p>
          <w:p>
            <w:pPr>
              <w:pStyle w:val="Normal"/>
              <w:spacing w:lineRule="auto" w:line="276"/>
              <w:rPr>
                <w:rFonts w:ascii="Arial" w:hAnsi="Arial" w:cs="Arial"/>
                <w:color w:val="503200"/>
                <w:sz w:val="14"/>
                <w:szCs w:val="14"/>
              </w:rPr>
            </w:pPr>
            <w:r>
              <w:rPr>
                <w:rFonts w:cs="Arial" w:ascii="Arial" w:hAnsi="Arial"/>
                <w:color w:val="503200"/>
                <w:sz w:val="14"/>
                <w:szCs w:val="14"/>
              </w:rPr>
            </w:r>
          </w:p>
          <w:p>
            <w:pPr>
              <w:pStyle w:val="Normal"/>
              <w:spacing w:lineRule="auto" w:line="276"/>
              <w:rPr>
                <w:rFonts w:ascii="Arial" w:hAnsi="Arial" w:cs="Arial"/>
                <w:color w:val="503200"/>
                <w:sz w:val="14"/>
                <w:szCs w:val="14"/>
              </w:rPr>
            </w:pPr>
            <w:r>
              <w:rPr/>
              <mc:AlternateContent>
                <mc:Choice Requires="wps">
                  <w:drawing>
                    <wp:inline distT="0" distB="0" distL="0" distR="0" wp14:anchorId="4C9C9B50">
                      <wp:extent cx="618490" cy="217170"/>
                      <wp:effectExtent l="0" t="0" r="0" b="0"/>
                      <wp:docPr id="1" name="PERI_Licenca_Creative_Commons_Artigos.png"/>
                      <a:graphic xmlns:a="http://schemas.openxmlformats.org/drawingml/2006/main">
                        <a:graphicData uri="http://schemas.openxmlformats.org/drawingml/2006/picture"/>
                      </a:graphic>
                    </wp:inline>
                  </w:drawing>
                </mc:Choice>
                <mc:Fallback>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PERI_Licenca_Creative_Commons_Artigos.png" stroked="f" style="position:absolute;margin-left:0pt;margin-top:-17.1pt;width:48.6pt;height:17pt;mso-position-vertical:top" wp14:anchorId="4C9C9B50" type="shapetype_75">
                      <w10:wrap type="none"/>
                      <v:fill o:detectmouseclick="t" on="false"/>
                      <v:stroke color="#3465a4" joinstyle="round" endcap="flat"/>
                    </v:shape>
                  </w:pict>
                </mc:Fallback>
              </mc:AlternateContent>
            </w:r>
          </w:p>
        </w:tc>
      </w:tr>
    </w:tbl>
    <w:p>
      <w:pPr>
        <w:pStyle w:val="Normal"/>
        <w:jc w:val="both"/>
        <w:rPr>
          <w:b/>
          <w:b/>
          <w:color w:val="533301"/>
          <w:sz w:val="20"/>
          <w:szCs w:val="20"/>
        </w:rPr>
      </w:pPr>
      <w:r>
        <w:rPr/>
      </w:r>
    </w:p>
    <w:sectPr>
      <w:headerReference w:type="default" r:id="rId13"/>
      <w:headerReference w:type="first" r:id="rId14"/>
      <w:footerReference w:type="default" r:id="rId15"/>
      <w:footerReference w:type="first" r:id="rId16"/>
      <w:footnotePr>
        <w:numFmt w:val="decimal"/>
      </w:footnotePr>
      <w:type w:val="nextPage"/>
      <w:pgSz w:w="11906" w:h="16838"/>
      <w:pgMar w:left="624" w:right="1134" w:header="0" w:top="1850" w:footer="0" w:bottom="1293" w:gutter="0"/>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Lucida Grande">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rFonts w:ascii="Arial" w:hAnsi="Arial" w:cs="Arial"/>
        <w:sz w:val="12"/>
        <w:szCs w:val="12"/>
      </w:rPr>
    </w:pPr>
    <w:r>
      <w:rPr/>
      <w:drawing>
        <wp:inline distT="0" distB="0" distL="0" distR="0">
          <wp:extent cx="7200265" cy="24130"/>
          <wp:effectExtent l="0" t="0" r="0" b="0"/>
          <wp:docPr id="7" name="Imagem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9" descr=""/>
                  <pic:cNvPicPr>
                    <a:picLocks noChangeAspect="1" noChangeArrowheads="1"/>
                  </pic:cNvPicPr>
                </pic:nvPicPr>
                <pic:blipFill>
                  <a:blip r:embed="rId1"/>
                  <a:stretch>
                    <a:fillRect/>
                  </a:stretch>
                </pic:blipFill>
                <pic:spPr bwMode="auto">
                  <a:xfrm>
                    <a:off x="0" y="0"/>
                    <a:ext cx="7200265" cy="24130"/>
                  </a:xfrm>
                  <a:prstGeom prst="rect">
                    <a:avLst/>
                  </a:prstGeom>
                </pic:spPr>
              </pic:pic>
            </a:graphicData>
          </a:graphic>
        </wp:inline>
      </w:drawing>
      <mc:AlternateContent>
        <mc:Choice Requires="wps">
          <w:drawing>
            <wp:anchor behindDoc="1" distT="0" distB="0" distL="0" distR="0" simplePos="0" locked="0" layoutInCell="1" allowOverlap="1" relativeHeight="20" wp14:anchorId="2D40F6AE">
              <wp:simplePos x="0" y="0"/>
              <wp:positionH relativeFrom="page">
                <wp:posOffset>0</wp:posOffset>
              </wp:positionH>
              <wp:positionV relativeFrom="margin">
                <wp:posOffset>8234045</wp:posOffset>
              </wp:positionV>
              <wp:extent cx="761365" cy="309880"/>
              <wp:effectExtent l="0" t="0" r="1270" b="9525"/>
              <wp:wrapNone/>
              <wp:docPr id="5" name="Retângulo 52"/>
              <a:graphic xmlns:a="http://schemas.openxmlformats.org/drawingml/2006/main">
                <a:graphicData uri="http://schemas.microsoft.com/office/word/2010/wordprocessingShape">
                  <wps:wsp>
                    <wps:cNvSpPr/>
                    <wps:spPr>
                      <a:xfrm>
                        <a:off x="0" y="0"/>
                        <a:ext cx="760680" cy="309240"/>
                      </a:xfrm>
                      <a:prstGeom prst="rect">
                        <a:avLst/>
                      </a:prstGeom>
                      <a:solidFill>
                        <a:srgbClr val="ffffff"/>
                      </a:solidFill>
                      <a:ln>
                        <a:noFill/>
                      </a:ln>
                    </wps:spPr>
                    <wps:style>
                      <a:lnRef idx="0"/>
                      <a:fillRef idx="0"/>
                      <a:effectRef idx="0"/>
                      <a:fontRef idx="minor"/>
                    </wps:style>
                    <wps:txbx>
                      <w:txbxContent>
                        <w:p>
                          <w:pPr>
                            <w:pStyle w:val="Contedodoquadro"/>
                            <w:pBdr>
                              <w:top w:val="single" w:sz="4" w:space="1" w:color="D8D8D8"/>
                            </w:pBdr>
                            <w:jc w:val="right"/>
                            <w:rPr>
                              <w:color w:val="EC6608"/>
                              <w:sz w:val="14"/>
                              <w:szCs w:val="14"/>
                            </w:rPr>
                          </w:pPr>
                          <w:r>
                            <w:rPr>
                              <w:color w:val="EC6608"/>
                              <w:sz w:val="14"/>
                              <w:szCs w:val="14"/>
                              <w14:textFill>
                                <w14:solidFill>
                                  <w14:srgbClr w14:val="EC6608">
                                    <w14:lumMod w14:val="85000"/>
                                    <w14:lumOff w14:val="15000"/>
                                  </w14:srgbClr>
                                </w14:solidFill>
                              </w14:textFill>
                            </w:rPr>
                            <w:t xml:space="preserve">Página | </w:t>
                          </w:r>
                          <w:r>
                            <w:rPr>
                              <w:color w:val="EC6608"/>
                              <w:sz w:val="14"/>
                              <w:szCs w:val="14"/>
                              <w14:textFill>
                                <w14:solidFill>
                                  <w14:srgbClr w14:val="EC6608">
                                    <w14:lumMod w14:val="85000"/>
                                    <w14:lumOff w14:val="15000"/>
                                  </w14:srgbClr>
                                </w14:solidFill>
                              </w14:textFill>
                            </w:rPr>
                            <w:fldChar w:fldCharType="begin"/>
                          </w:r>
                          <w:r>
                            <w:rPr>
                              <w:sz w:val="14"/>
                              <w:szCs w:val="14"/>
                              <w:color w:val="EC6608"/>
                            </w:rPr>
                            <w:instrText> PAGE </w:instrText>
                          </w:r>
                          <w:r>
                            <w:rPr>
                              <w:sz w:val="14"/>
                              <w:szCs w:val="14"/>
                              <w:color w:val="EC6608"/>
                            </w:rPr>
                            <w:fldChar w:fldCharType="separate"/>
                          </w:r>
                          <w:r>
                            <w:rPr>
                              <w:sz w:val="14"/>
                              <w:szCs w:val="14"/>
                              <w:color w:val="EC6608"/>
                            </w:rPr>
                            <w:t>18</w:t>
                          </w:r>
                          <w:r>
                            <w:rPr>
                              <w:sz w:val="14"/>
                              <w:szCs w:val="14"/>
                              <w:color w:val="EC6608"/>
                            </w:rPr>
                            <w:fldChar w:fldCharType="end"/>
                          </w:r>
                        </w:p>
                      </w:txbxContent>
                    </wps:txbx>
                    <wps:bodyPr lIns="0" rIns="0">
                      <a:spAutoFit/>
                    </wps:bodyPr>
                  </wps:wsp>
                </a:graphicData>
              </a:graphic>
            </wp:anchor>
          </w:drawing>
        </mc:Choice>
        <mc:Fallback>
          <w:pict>
            <v:rect id="shape_0" ID="Retângulo 52" fillcolor="white" stroked="f" style="position:absolute;margin-left:0pt;margin-top:648.35pt;width:59.85pt;height:24.3pt;mso-position-horizontal-relative:page;mso-position-vertical-relative:margin" wp14:anchorId="2D40F6AE">
              <w10:wrap type="square"/>
              <v:fill o:detectmouseclick="t" type="solid" color2="black"/>
              <v:stroke color="#3465a4" joinstyle="round" endcap="flat"/>
              <v:textbox>
                <w:txbxContent>
                  <w:p>
                    <w:pPr>
                      <w:pStyle w:val="Contedodoquadro"/>
                      <w:pBdr>
                        <w:top w:val="single" w:sz="4" w:space="1" w:color="D8D8D8"/>
                      </w:pBdr>
                      <w:jc w:val="right"/>
                      <w:rPr>
                        <w:color w:val="EC6608"/>
                        <w:sz w:val="14"/>
                        <w:szCs w:val="14"/>
                      </w:rPr>
                    </w:pPr>
                    <w:r>
                      <w:rPr>
                        <w:color w:val="EC6608"/>
                        <w:sz w:val="14"/>
                        <w:szCs w:val="14"/>
                        <w14:textFill>
                          <w14:solidFill>
                            <w14:srgbClr w14:val="EC6608">
                              <w14:lumMod w14:val="85000"/>
                              <w14:lumOff w14:val="15000"/>
                            </w14:srgbClr>
                          </w14:solidFill>
                        </w14:textFill>
                      </w:rPr>
                      <w:t xml:space="preserve">Página | </w:t>
                    </w:r>
                    <w:r>
                      <w:rPr>
                        <w:color w:val="EC6608"/>
                        <w:sz w:val="14"/>
                        <w:szCs w:val="14"/>
                        <w14:textFill>
                          <w14:solidFill>
                            <w14:srgbClr w14:val="EC6608">
                              <w14:lumMod w14:val="85000"/>
                              <w14:lumOff w14:val="15000"/>
                            </w14:srgbClr>
                          </w14:solidFill>
                        </w14:textFill>
                      </w:rPr>
                      <w:fldChar w:fldCharType="begin"/>
                    </w:r>
                    <w:r>
                      <w:rPr>
                        <w:sz w:val="14"/>
                        <w:szCs w:val="14"/>
                        <w:color w:val="EC6608"/>
                      </w:rPr>
                      <w:instrText> PAGE </w:instrText>
                    </w:r>
                    <w:r>
                      <w:rPr>
                        <w:sz w:val="14"/>
                        <w:szCs w:val="14"/>
                        <w:color w:val="EC6608"/>
                      </w:rPr>
                      <w:fldChar w:fldCharType="separate"/>
                    </w:r>
                    <w:r>
                      <w:rPr>
                        <w:sz w:val="14"/>
                        <w:szCs w:val="14"/>
                        <w:color w:val="EC6608"/>
                      </w:rPr>
                      <w:t>18</w:t>
                    </w:r>
                    <w:r>
                      <w:rPr>
                        <w:sz w:val="14"/>
                        <w:szCs w:val="14"/>
                        <w:color w:val="EC6608"/>
                      </w:rPr>
                      <w:fldChar w:fldCharType="end"/>
                    </w:r>
                  </w:p>
                </w:txbxContent>
              </v:textbox>
            </v:rect>
          </w:pict>
        </mc:Fallback>
      </mc:AlternateContent>
    </w:r>
  </w:p>
  <w:p>
    <w:pPr>
      <w:pStyle w:val="Legendabibliografica"/>
      <w:rPr>
        <w:lang w:val="en-US"/>
      </w:rPr>
    </w:pPr>
    <w:r>
      <w:rPr/>
      <w:t>Cad. Gên. Tecnol.</w:t>
    </w:r>
    <w:r>
      <w:rPr>
        <w:lang w:val="en-US"/>
      </w:rPr>
      <w:t>, Curitiba, v. xx, n. xx, p. x-xxx, jan./abr. 2016.</w:t>
    </w:r>
  </w:p>
  <w:p>
    <w:pPr>
      <w:pStyle w:val="Normal"/>
      <w:rPr>
        <w:rFonts w:ascii="Arial" w:hAnsi="Arial" w:cs="Arial"/>
        <w:color w:val="575757"/>
        <w:sz w:val="12"/>
        <w:szCs w:val="12"/>
        <w:lang w:val="en-US"/>
      </w:rPr>
    </w:pPr>
    <w:r>
      <w:rPr>
        <w:rFonts w:cs="Arial" w:ascii="Arial" w:hAnsi="Arial"/>
        <w:color w:val="575757"/>
        <w:sz w:val="12"/>
        <w:szCs w:val="12"/>
        <w:lang w:val="en-US"/>
      </w:rPr>
    </w:r>
  </w:p>
  <w:p>
    <w:pPr>
      <w:pStyle w:val="Normal"/>
      <w:rPr>
        <w:rFonts w:ascii="Arial" w:hAnsi="Arial" w:cs="Arial"/>
        <w:color w:val="575757"/>
        <w:sz w:val="12"/>
        <w:szCs w:val="12"/>
        <w:lang w:val="en-US"/>
      </w:rPr>
    </w:pPr>
    <w:r>
      <w:rPr>
        <w:rFonts w:cs="Arial" w:ascii="Arial" w:hAnsi="Arial"/>
        <w:color w:val="575757"/>
        <w:sz w:val="12"/>
        <w:szCs w:val="12"/>
        <w:lang w:val="en-US"/>
      </w:rPr>
    </w:r>
  </w:p>
  <w:p>
    <w:pPr>
      <w:pStyle w:val="Normal"/>
      <w:rPr>
        <w:rFonts w:ascii="Arial" w:hAnsi="Arial" w:cs="Arial"/>
        <w:color w:val="575757"/>
        <w:sz w:val="12"/>
        <w:szCs w:val="12"/>
        <w:lang w:val="en-US"/>
      </w:rPr>
    </w:pPr>
    <w:r>
      <w:rPr>
        <w:rFonts w:cs="Arial" w:ascii="Arial" w:hAnsi="Arial"/>
        <w:color w:val="575757"/>
        <w:sz w:val="12"/>
        <w:szCs w:val="12"/>
        <w:lang w:val="en-US"/>
      </w:rPr>
    </w:r>
  </w:p>
  <w:p>
    <w:pPr>
      <w:pStyle w:val="Normal"/>
      <w:rPr>
        <w:rFonts w:ascii="Arial" w:hAnsi="Arial" w:cs="Arial"/>
        <w:color w:val="575757"/>
        <w:sz w:val="12"/>
        <w:szCs w:val="12"/>
        <w:lang w:val="en-US"/>
      </w:rPr>
    </w:pPr>
    <w:r>
      <w:rPr>
        <w:rFonts w:cs="Arial" w:ascii="Arial" w:hAnsi="Arial"/>
        <w:color w:val="575757"/>
        <w:sz w:val="12"/>
        <w:szCs w:val="12"/>
        <w:lang w:val="en-US"/>
      </w:rPr>
    </w:r>
  </w:p>
  <w:p>
    <w:pPr>
      <w:pStyle w:val="Normal"/>
      <w:rPr>
        <w:rFonts w:ascii="Arial" w:hAnsi="Arial" w:cs="Arial"/>
        <w:color w:val="575757"/>
        <w:sz w:val="12"/>
        <w:szCs w:val="12"/>
        <w:lang w:val="en-US"/>
      </w:rPr>
    </w:pPr>
    <w:r>
      <w:rPr>
        <w:rFonts w:cs="Arial" w:ascii="Arial" w:hAnsi="Arial"/>
        <w:color w:val="575757"/>
        <w:sz w:val="12"/>
        <w:szCs w:val="12"/>
        <w:lang w:val="en-US"/>
      </w:rPr>
    </w:r>
  </w:p>
  <w:p>
    <w:pPr>
      <w:pStyle w:val="Normal"/>
      <w:rPr>
        <w:rFonts w:ascii="Arial" w:hAnsi="Arial" w:cs="Arial"/>
        <w:color w:val="575757"/>
        <w:sz w:val="12"/>
        <w:szCs w:val="12"/>
        <w:lang w:val="en-US"/>
      </w:rPr>
    </w:pPr>
    <w:r>
      <w:rPr>
        <w:rFonts w:cs="Arial" w:ascii="Arial" w:hAnsi="Arial"/>
        <w:color w:val="575757"/>
        <w:sz w:val="12"/>
        <w:szCs w:val="12"/>
        <w:lang w:val="en-US"/>
      </w:rPr>
    </w:r>
  </w:p>
  <w:p>
    <w:pPr>
      <w:pStyle w:val="Normal"/>
      <w:rPr>
        <w:rFonts w:ascii="Arial" w:hAnsi="Arial" w:cs="Arial"/>
        <w:color w:val="575757"/>
        <w:sz w:val="12"/>
        <w:szCs w:val="12"/>
        <w:lang w:val="en-US"/>
      </w:rPr>
    </w:pPr>
    <w:r>
      <w:rPr>
        <w:rFonts w:cs="Arial" w:ascii="Arial" w:hAnsi="Arial"/>
        <w:color w:val="575757"/>
        <w:sz w:val="12"/>
        <w:szCs w:val="12"/>
        <w:lang w:val="en-US"/>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rFonts w:ascii="Arial" w:hAnsi="Arial" w:cs="Arial"/>
        <w:sz w:val="12"/>
        <w:szCs w:val="12"/>
      </w:rPr>
    </w:pPr>
    <w:r>
      <w:rPr/>
      <w:drawing>
        <wp:inline distT="0" distB="0" distL="0" distR="0">
          <wp:extent cx="7200265" cy="24130"/>
          <wp:effectExtent l="0" t="0" r="0" b="0"/>
          <wp:docPr id="10" name="Imagem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1" descr=""/>
                  <pic:cNvPicPr>
                    <a:picLocks noChangeAspect="1" noChangeArrowheads="1"/>
                  </pic:cNvPicPr>
                </pic:nvPicPr>
                <pic:blipFill>
                  <a:blip r:embed="rId1"/>
                  <a:stretch>
                    <a:fillRect/>
                  </a:stretch>
                </pic:blipFill>
                <pic:spPr bwMode="auto">
                  <a:xfrm>
                    <a:off x="0" y="0"/>
                    <a:ext cx="7200265" cy="24130"/>
                  </a:xfrm>
                  <a:prstGeom prst="rect">
                    <a:avLst/>
                  </a:prstGeom>
                </pic:spPr>
              </pic:pic>
            </a:graphicData>
          </a:graphic>
        </wp:inline>
      </w:drawing>
      <mc:AlternateContent>
        <mc:Choice Requires="wps">
          <w:drawing>
            <wp:anchor behindDoc="1" distT="0" distB="0" distL="0" distR="0" simplePos="0" locked="0" layoutInCell="1" allowOverlap="1" relativeHeight="2" wp14:anchorId="7F84D34E">
              <wp:simplePos x="0" y="0"/>
              <wp:positionH relativeFrom="page">
                <wp:posOffset>0</wp:posOffset>
              </wp:positionH>
              <wp:positionV relativeFrom="margin">
                <wp:posOffset>7722235</wp:posOffset>
              </wp:positionV>
              <wp:extent cx="768350" cy="309880"/>
              <wp:effectExtent l="0" t="0" r="0" b="9525"/>
              <wp:wrapNone/>
              <wp:docPr id="8" name="Retângulo 49"/>
              <a:graphic xmlns:a="http://schemas.openxmlformats.org/drawingml/2006/main">
                <a:graphicData uri="http://schemas.microsoft.com/office/word/2010/wordprocessingShape">
                  <wps:wsp>
                    <wps:cNvSpPr/>
                    <wps:spPr>
                      <a:xfrm>
                        <a:off x="0" y="0"/>
                        <a:ext cx="767880" cy="309240"/>
                      </a:xfrm>
                      <a:prstGeom prst="rect">
                        <a:avLst/>
                      </a:prstGeom>
                      <a:solidFill>
                        <a:srgbClr val="ffffff"/>
                      </a:solidFill>
                      <a:ln>
                        <a:noFill/>
                      </a:ln>
                    </wps:spPr>
                    <wps:style>
                      <a:lnRef idx="0"/>
                      <a:fillRef idx="0"/>
                      <a:effectRef idx="0"/>
                      <a:fontRef idx="minor"/>
                    </wps:style>
                    <wps:txbx>
                      <w:txbxContent>
                        <w:p>
                          <w:pPr>
                            <w:pStyle w:val="Contedodoquadro"/>
                            <w:pBdr>
                              <w:top w:val="single" w:sz="4" w:space="1" w:color="D8D8D8"/>
                            </w:pBdr>
                            <w:jc w:val="right"/>
                            <w:rPr>
                              <w:color w:val="EC6608"/>
                              <w:sz w:val="14"/>
                              <w:szCs w:val="14"/>
                            </w:rPr>
                          </w:pPr>
                          <w:r>
                            <w:rPr>
                              <w:color w:val="EC6608"/>
                              <w:sz w:val="14"/>
                              <w:szCs w:val="14"/>
                              <w14:textFill>
                                <w14:solidFill>
                                  <w14:srgbClr w14:val="EC6608">
                                    <w14:lumMod w14:val="85000"/>
                                    <w14:lumOff w14:val="15000"/>
                                  </w14:srgbClr>
                                </w14:solidFill>
                              </w14:textFill>
                            </w:rPr>
                            <w:t xml:space="preserve">Página | </w:t>
                          </w:r>
                          <w:r>
                            <w:rPr>
                              <w:color w:val="EC6608"/>
                              <w:sz w:val="14"/>
                              <w:szCs w:val="14"/>
                              <w14:textFill>
                                <w14:solidFill>
                                  <w14:srgbClr w14:val="EC6608">
                                    <w14:lumMod w14:val="85000"/>
                                    <w14:lumOff w14:val="15000"/>
                                  </w14:srgbClr>
                                </w14:solidFill>
                              </w14:textFill>
                            </w:rPr>
                            <w:fldChar w:fldCharType="begin"/>
                          </w:r>
                          <w:r>
                            <w:rPr>
                              <w:sz w:val="14"/>
                              <w:szCs w:val="14"/>
                              <w:color w:val="EC6608"/>
                            </w:rPr>
                            <w:instrText> PAGE </w:instrText>
                          </w:r>
                          <w:r>
                            <w:rPr>
                              <w:sz w:val="14"/>
                              <w:szCs w:val="14"/>
                              <w:color w:val="EC6608"/>
                            </w:rPr>
                            <w:fldChar w:fldCharType="separate"/>
                          </w:r>
                          <w:r>
                            <w:rPr>
                              <w:sz w:val="14"/>
                              <w:szCs w:val="14"/>
                              <w:color w:val="EC6608"/>
                            </w:rPr>
                            <w:t>1</w:t>
                          </w:r>
                          <w:r>
                            <w:rPr>
                              <w:sz w:val="14"/>
                              <w:szCs w:val="14"/>
                              <w:color w:val="EC6608"/>
                            </w:rPr>
                            <w:fldChar w:fldCharType="end"/>
                          </w:r>
                        </w:p>
                      </w:txbxContent>
                    </wps:txbx>
                    <wps:bodyPr lIns="0" rIns="0">
                      <a:spAutoFit/>
                    </wps:bodyPr>
                  </wps:wsp>
                </a:graphicData>
              </a:graphic>
            </wp:anchor>
          </w:drawing>
        </mc:Choice>
        <mc:Fallback>
          <w:pict>
            <v:rect id="shape_0" ID="Retângulo 49" fillcolor="white" stroked="f" style="position:absolute;margin-left:0pt;margin-top:608.05pt;width:60.4pt;height:24.3pt;mso-position-horizontal-relative:page;mso-position-vertical-relative:margin" wp14:anchorId="7F84D34E">
              <w10:wrap type="square"/>
              <v:fill o:detectmouseclick="t" type="solid" color2="black"/>
              <v:stroke color="#3465a4" joinstyle="round" endcap="flat"/>
              <v:textbox>
                <w:txbxContent>
                  <w:p>
                    <w:pPr>
                      <w:pStyle w:val="Contedodoquadro"/>
                      <w:pBdr>
                        <w:top w:val="single" w:sz="4" w:space="1" w:color="D8D8D8"/>
                      </w:pBdr>
                      <w:jc w:val="right"/>
                      <w:rPr>
                        <w:color w:val="EC6608"/>
                        <w:sz w:val="14"/>
                        <w:szCs w:val="14"/>
                      </w:rPr>
                    </w:pPr>
                    <w:r>
                      <w:rPr>
                        <w:color w:val="EC6608"/>
                        <w:sz w:val="14"/>
                        <w:szCs w:val="14"/>
                        <w14:textFill>
                          <w14:solidFill>
                            <w14:srgbClr w14:val="EC6608">
                              <w14:lumMod w14:val="85000"/>
                              <w14:lumOff w14:val="15000"/>
                            </w14:srgbClr>
                          </w14:solidFill>
                        </w14:textFill>
                      </w:rPr>
                      <w:t xml:space="preserve">Página | </w:t>
                    </w:r>
                    <w:r>
                      <w:rPr>
                        <w:color w:val="EC6608"/>
                        <w:sz w:val="14"/>
                        <w:szCs w:val="14"/>
                        <w14:textFill>
                          <w14:solidFill>
                            <w14:srgbClr w14:val="EC6608">
                              <w14:lumMod w14:val="85000"/>
                              <w14:lumOff w14:val="15000"/>
                            </w14:srgbClr>
                          </w14:solidFill>
                        </w14:textFill>
                      </w:rPr>
                      <w:fldChar w:fldCharType="begin"/>
                    </w:r>
                    <w:r>
                      <w:rPr>
                        <w:sz w:val="14"/>
                        <w:szCs w:val="14"/>
                        <w:color w:val="EC6608"/>
                      </w:rPr>
                      <w:instrText> PAGE </w:instrText>
                    </w:r>
                    <w:r>
                      <w:rPr>
                        <w:sz w:val="14"/>
                        <w:szCs w:val="14"/>
                        <w:color w:val="EC6608"/>
                      </w:rPr>
                      <w:fldChar w:fldCharType="separate"/>
                    </w:r>
                    <w:r>
                      <w:rPr>
                        <w:sz w:val="14"/>
                        <w:szCs w:val="14"/>
                        <w:color w:val="EC6608"/>
                      </w:rPr>
                      <w:t>1</w:t>
                    </w:r>
                    <w:r>
                      <w:rPr>
                        <w:sz w:val="14"/>
                        <w:szCs w:val="14"/>
                        <w:color w:val="EC6608"/>
                      </w:rPr>
                      <w:fldChar w:fldCharType="end"/>
                    </w:r>
                  </w:p>
                </w:txbxContent>
              </v:textbox>
            </v:rect>
          </w:pict>
        </mc:Fallback>
      </mc:AlternateContent>
    </w:r>
  </w:p>
  <w:tbl>
    <w:tblPr>
      <w:tblStyle w:val="Tabelacomgrade"/>
      <w:tblW w:w="10768" w:type="dxa"/>
      <w:jc w:val="left"/>
      <w:tblInd w:w="0" w:type="dxa"/>
      <w:tblCellMar>
        <w:top w:w="57" w:type="dxa"/>
        <w:left w:w="0" w:type="dxa"/>
        <w:bottom w:w="0" w:type="dxa"/>
        <w:right w:w="28" w:type="dxa"/>
      </w:tblCellMar>
      <w:tblLook w:firstRow="1" w:noVBand="1" w:lastRow="0" w:firstColumn="1" w:lastColumn="0" w:noHBand="0" w:val="04a0"/>
    </w:tblPr>
    <w:tblGrid>
      <w:gridCol w:w="5069"/>
      <w:gridCol w:w="5698"/>
    </w:tblGrid>
    <w:tr>
      <w:trPr/>
      <w:tc>
        <w:tcPr>
          <w:tcW w:w="5069" w:type="dxa"/>
          <w:tcBorders>
            <w:top w:val="nil"/>
            <w:left w:val="nil"/>
            <w:bottom w:val="nil"/>
            <w:right w:val="nil"/>
          </w:tcBorders>
        </w:tcPr>
        <w:p>
          <w:pPr>
            <w:pStyle w:val="Legendabibliografica"/>
            <w:rPr>
              <w:lang w:val="en-US"/>
            </w:rPr>
          </w:pPr>
          <w:r>
            <w:rPr/>
            <w:t>Cad. Gên. Tecnol.</w:t>
          </w:r>
          <w:r>
            <w:rPr>
              <w:lang w:val="en-US"/>
            </w:rPr>
            <w:t>, Curitiba, v. xx, n. xx, p. x-xxx, jan./abr. 2016.</w:t>
          </w:r>
        </w:p>
      </w:tc>
      <w:tc>
        <w:tcPr>
          <w:tcW w:w="5698" w:type="dxa"/>
          <w:tcBorders>
            <w:top w:val="nil"/>
            <w:left w:val="nil"/>
            <w:bottom w:val="nil"/>
            <w:right w:val="nil"/>
          </w:tcBorders>
        </w:tcPr>
        <w:p>
          <w:pPr>
            <w:pStyle w:val="Normal"/>
            <w:jc w:val="right"/>
            <w:rPr>
              <w:rFonts w:ascii="Arial" w:hAnsi="Arial" w:cs="Arial"/>
              <w:color w:val="575757"/>
              <w:sz w:val="14"/>
              <w:szCs w:val="14"/>
              <w:lang w:val="en-US"/>
            </w:rPr>
          </w:pPr>
          <w:r>
            <w:rPr>
              <w:rFonts w:cs="Arial" w:ascii="Arial" w:hAnsi="Arial"/>
              <w:color w:val="575757"/>
              <w:sz w:val="14"/>
              <w:szCs w:val="14"/>
              <w:lang w:val="en-US"/>
            </w:rPr>
          </w:r>
        </w:p>
      </w:tc>
    </w:tr>
  </w:tbl>
  <w:p>
    <w:pPr>
      <w:pStyle w:val="Normal"/>
      <w:tabs>
        <w:tab w:val="clear" w:pos="567"/>
        <w:tab w:val="left" w:pos="4508" w:leader="none"/>
      </w:tabs>
      <w:rPr>
        <w:lang w:val="en-US"/>
      </w:rPr>
    </w:pPr>
    <w:r>
      <w:rPr>
        <w:lang w:val="en-US"/>
      </w:rPr>
      <w:tab/>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Normal"/>
        <w:rPr>
          <w:color w:val="000000"/>
          <w:sz w:val="20"/>
        </w:rPr>
      </w:pPr>
      <w:r>
        <w:rPr>
          <w:rStyle w:val="Caracteresdenotaderodap"/>
        </w:rPr>
        <w:footnoteRef/>
      </w:r>
      <w:r>
        <w:rPr>
          <w:color w:val="000000"/>
          <w:vertAlign w:val="superscript"/>
        </w:rPr>
        <w:t xml:space="preserve"> </w:t>
      </w:r>
      <w:r>
        <w:rPr>
          <w:color w:val="000000"/>
          <w:sz w:val="20"/>
          <w:szCs w:val="20"/>
        </w:rPr>
        <w:t xml:space="preserve">Linguagem de flexão de gênero com uso das letras E ou U, abarcando todas as identidades de gênero, para além do binário, além do homem e da mulher, além do masculino e feminino. </w:t>
      </w:r>
    </w:p>
    <w:p>
      <w:pPr>
        <w:pStyle w:val="Normal"/>
        <w:rPr>
          <w:color w:val="000000"/>
          <w:sz w:val="20"/>
          <w:szCs w:val="20"/>
        </w:rPr>
      </w:pPr>
      <w:r>
        <w:rPr/>
      </w:r>
    </w:p>
  </w:footnote>
  <w:footnote w:id="3">
    <w:p>
      <w:pPr>
        <w:pStyle w:val="Normal"/>
        <w:rPr>
          <w:color w:val="000000"/>
          <w:sz w:val="20"/>
        </w:rPr>
      </w:pPr>
      <w:r>
        <w:rPr>
          <w:rStyle w:val="Caracteresdenotaderodap"/>
        </w:rPr>
        <w:footnoteRef/>
      </w:r>
      <w:r>
        <w:rPr>
          <w:color w:val="000000"/>
          <w:sz w:val="20"/>
          <w:szCs w:val="20"/>
        </w:rPr>
        <w:t xml:space="preserve"> </w:t>
      </w:r>
      <w:r>
        <w:rPr>
          <w:color w:val="000000"/>
          <w:sz w:val="20"/>
          <w:szCs w:val="20"/>
        </w:rPr>
        <w:t xml:space="preserve">Disponível em: </w:t>
      </w:r>
      <w:hyperlink r:id="rId1">
        <w:r>
          <w:rPr>
            <w:color w:val="0563C1"/>
            <w:sz w:val="20"/>
            <w:szCs w:val="20"/>
            <w:u w:val="single"/>
          </w:rPr>
          <w:t>https://cpers.com.br/dia-da-visibilidade-trans-destaca-a-luta-pelos-direitos-da-populacao-lgbt/</w:t>
        </w:r>
      </w:hyperlink>
      <w:r>
        <w:rPr>
          <w:color w:val="000000"/>
          <w:sz w:val="20"/>
          <w:szCs w:val="20"/>
        </w:rPr>
        <w:t xml:space="preserve">. Acesso em: 16 Abr/2020. </w:t>
      </w:r>
    </w:p>
  </w:footnote>
  <w:footnote w:id="4">
    <w:p>
      <w:pPr>
        <w:pStyle w:val="Notaderodap"/>
        <w:spacing w:before="0" w:after="40"/>
        <w:rPr/>
      </w:pPr>
      <w:r>
        <w:rPr>
          <w:rStyle w:val="Caracteresdenotaderodap"/>
        </w:rPr>
        <w:footnoteRef/>
      </w:r>
      <w:r>
        <w:rPr/>
        <w:t xml:space="preserve"> </w:t>
      </w:r>
      <w:r>
        <w:rPr/>
        <w:t xml:space="preserve">Distopia no sentido que seus corpos sofrem opressões, privações e extremas condições de sobrevivência, pois são alvos de mortes. </w:t>
      </w:r>
    </w:p>
  </w:footnote>
  <w:footnote w:id="5">
    <w:p>
      <w:pPr>
        <w:pStyle w:val="Notaderodap"/>
        <w:spacing w:before="0" w:after="40"/>
        <w:rPr/>
      </w:pPr>
      <w:r>
        <w:rPr>
          <w:rStyle w:val="Caracteresdenotaderodap"/>
        </w:rPr>
        <w:footnoteRef/>
      </w:r>
      <w:r>
        <w:rPr/>
        <w:t xml:space="preserve">  </w:t>
      </w:r>
      <w:r>
        <w:rPr/>
        <w:t xml:space="preserve">Dia Internacional contra a LGBTIfobia é comemorada no dia 17 de maio, porém as comemorações se estendem durante todo o mês. </w:t>
      </w:r>
    </w:p>
  </w:footnote>
  <w:footnote w:id="6">
    <w:p>
      <w:pPr>
        <w:pStyle w:val="Normal"/>
        <w:rPr>
          <w:color w:val="000000"/>
          <w:sz w:val="20"/>
        </w:rPr>
      </w:pPr>
      <w:r>
        <w:rPr>
          <w:rStyle w:val="Caracteresdenotaderodap"/>
        </w:rPr>
        <w:footnoteRef/>
      </w:r>
      <w:r>
        <w:rPr>
          <w:color w:val="000000"/>
          <w:sz w:val="20"/>
          <w:szCs w:val="20"/>
        </w:rPr>
        <w:t xml:space="preserve"> </w:t>
      </w:r>
      <w:r>
        <w:rPr>
          <w:color w:val="000000"/>
          <w:sz w:val="20"/>
          <w:szCs w:val="20"/>
        </w:rPr>
        <w:t xml:space="preserve">Disponível em: </w:t>
      </w:r>
      <w:hyperlink r:id="rId2">
        <w:r>
          <w:rPr>
            <w:color w:val="0563C1"/>
            <w:sz w:val="20"/>
            <w:szCs w:val="20"/>
            <w:u w:val="single"/>
          </w:rPr>
          <w:t>http://www.generonumero.media/transfobia-11-pessoas-trans-sao-agredidas-a-cada-dia-no-brasil-2/</w:t>
        </w:r>
      </w:hyperlink>
      <w:r>
        <w:rPr>
          <w:color w:val="000000"/>
          <w:sz w:val="20"/>
          <w:szCs w:val="20"/>
        </w:rPr>
        <w:t>. Acesso em: 12 Mar/2020.</w:t>
      </w:r>
    </w:p>
  </w:footnote>
  <w:footnote w:id="7">
    <w:p>
      <w:pPr>
        <w:pStyle w:val="Normal"/>
        <w:rPr>
          <w:color w:val="000000"/>
          <w:sz w:val="20"/>
        </w:rPr>
      </w:pPr>
      <w:r>
        <w:rPr>
          <w:rStyle w:val="Caracteresdenotaderodap"/>
        </w:rPr>
        <w:footnoteRef/>
      </w:r>
      <w:r>
        <w:rPr>
          <w:color w:val="000000"/>
          <w:sz w:val="20"/>
          <w:szCs w:val="20"/>
          <w:vertAlign w:val="superscript"/>
        </w:rPr>
        <w:t xml:space="preserve"> </w:t>
      </w:r>
      <w:r>
        <w:rPr>
          <w:color w:val="000000"/>
          <w:sz w:val="20"/>
          <w:szCs w:val="20"/>
        </w:rPr>
        <w:t xml:space="preserve">Disponível em: </w:t>
      </w:r>
      <w:hyperlink r:id="rId3">
        <w:r>
          <w:rPr>
            <w:color w:val="0563C1"/>
            <w:sz w:val="20"/>
            <w:szCs w:val="20"/>
            <w:u w:val="single"/>
          </w:rPr>
          <w:t>http://www.planalto.gov.br/ccivil_03/leis/l7716.htm</w:t>
        </w:r>
      </w:hyperlink>
      <w:r>
        <w:rPr>
          <w:color w:val="000000"/>
          <w:sz w:val="20"/>
          <w:szCs w:val="20"/>
        </w:rPr>
        <w:t>. Acesso em: 09 Mar/2020.</w:t>
      </w:r>
    </w:p>
  </w:footnote>
  <w:footnote w:id="8">
    <w:p>
      <w:pPr>
        <w:pStyle w:val="Normal"/>
        <w:rPr>
          <w:color w:val="000000" w:themeColor="text1"/>
        </w:rPr>
      </w:pPr>
      <w:r>
        <w:rPr>
          <w:rStyle w:val="Caracteresdenotaderodap"/>
        </w:rPr>
        <w:footnoteRef/>
      </w:r>
      <w:r>
        <w:rPr>
          <w:color w:val="000000" w:themeColor="text1"/>
          <w:sz w:val="20"/>
          <w:szCs w:val="20"/>
        </w:rPr>
        <w:t xml:space="preserve"> </w:t>
      </w:r>
      <w:r>
        <w:rPr>
          <w:color w:val="000000" w:themeColor="text1"/>
          <w:sz w:val="20"/>
          <w:szCs w:val="20"/>
        </w:rPr>
        <w:t xml:space="preserve">Disponível em: </w:t>
      </w:r>
      <w:hyperlink r:id="rId4">
        <w:r>
          <w:rPr>
            <w:rStyle w:val="LinkdaInternet"/>
            <w:sz w:val="20"/>
            <w:szCs w:val="20"/>
          </w:rPr>
          <w:t>http://www.cremesp.org.br/library/modulos/legislacao/versao_impressao.php?id=7896</w:t>
        </w:r>
      </w:hyperlink>
      <w:r>
        <w:rPr>
          <w:color w:val="000000" w:themeColor="text1"/>
          <w:sz w:val="20"/>
          <w:szCs w:val="20"/>
        </w:rPr>
        <w:t>. Acesso em: 04 Fev/2020.</w:t>
      </w:r>
    </w:p>
  </w:footnote>
  <w:footnote w:id="9">
    <w:p>
      <w:pPr>
        <w:pStyle w:val="Normal"/>
        <w:rPr>
          <w:color w:val="000000" w:themeColor="text1"/>
          <w:sz w:val="20"/>
          <w:szCs w:val="20"/>
        </w:rPr>
      </w:pPr>
      <w:r>
        <w:rPr>
          <w:rStyle w:val="Caracteresdenotaderodap"/>
        </w:rPr>
        <w:footnoteRef/>
      </w:r>
      <w:r>
        <w:rPr>
          <w:color w:val="000000" w:themeColor="text1"/>
          <w:sz w:val="20"/>
          <w:szCs w:val="20"/>
        </w:rPr>
        <w:t xml:space="preserve"> </w:t>
      </w:r>
      <w:r>
        <w:rPr>
          <w:color w:val="000000" w:themeColor="text1"/>
          <w:sz w:val="20"/>
          <w:szCs w:val="20"/>
        </w:rPr>
        <w:t xml:space="preserve">Disponível em: </w:t>
      </w:r>
      <w:hyperlink r:id="rId5">
        <w:r>
          <w:rPr>
            <w:rStyle w:val="LinkdaInternet"/>
            <w:sz w:val="20"/>
            <w:szCs w:val="20"/>
          </w:rPr>
          <w:t>http://www.lex.com.br/legis_25099456_PORTARIA_N_2803_DE_19_DE_NOVEMBRO_DE_2013.aspx</w:t>
        </w:r>
      </w:hyperlink>
      <w:r>
        <w:rPr>
          <w:color w:val="000000" w:themeColor="text1"/>
          <w:sz w:val="20"/>
          <w:szCs w:val="20"/>
        </w:rPr>
        <w:t>. Acesso em: 04 Fev/2020.</w:t>
      </w:r>
    </w:p>
  </w:footnote>
  <w:footnote w:id="10">
    <w:p>
      <w:pPr>
        <w:pStyle w:val="Normal"/>
        <w:rPr>
          <w:color w:val="000000"/>
          <w:sz w:val="20"/>
          <w:szCs w:val="20"/>
        </w:rPr>
      </w:pPr>
      <w:r>
        <w:rPr>
          <w:rStyle w:val="Caracteresdenotaderodap"/>
        </w:rPr>
        <w:footnoteRef/>
      </w:r>
      <w:r>
        <w:rPr>
          <w:color w:val="000000"/>
          <w:sz w:val="20"/>
          <w:szCs w:val="20"/>
        </w:rPr>
        <w:t xml:space="preserve"> </w:t>
      </w:r>
      <w:r>
        <w:rPr>
          <w:color w:val="000000"/>
          <w:sz w:val="20"/>
          <w:szCs w:val="20"/>
        </w:rPr>
        <w:t xml:space="preserve">Disponível em: </w:t>
      </w:r>
      <w:hyperlink r:id="rId6">
        <w:r>
          <w:rPr>
            <w:color w:val="0563C1"/>
            <w:sz w:val="20"/>
            <w:szCs w:val="20"/>
            <w:u w:val="single"/>
          </w:rPr>
          <w:t>https://revistaforum.com.br/lgbt/fantastico-recebe-enxurrada-de-criticas-apos-reportagem-considerada-transfobica/</w:t>
        </w:r>
      </w:hyperlink>
      <w:r>
        <w:rPr>
          <w:color w:val="000000"/>
          <w:sz w:val="20"/>
          <w:szCs w:val="20"/>
        </w:rPr>
        <w:t>. Acesso em: 10 Nov/2019.</w:t>
      </w:r>
    </w:p>
  </w:footnote>
  <w:footnote w:id="11">
    <w:p>
      <w:pPr>
        <w:pStyle w:val="Normal"/>
        <w:rPr>
          <w:color w:val="000000"/>
          <w:sz w:val="20"/>
          <w:szCs w:val="20"/>
        </w:rPr>
      </w:pPr>
      <w:r>
        <w:rPr>
          <w:rStyle w:val="Caracteresdenotaderodap"/>
        </w:rPr>
        <w:footnoteRef/>
      </w:r>
      <w:r>
        <w:rPr>
          <w:color w:val="000000"/>
          <w:sz w:val="20"/>
          <w:szCs w:val="20"/>
        </w:rPr>
        <w:t xml:space="preserve"> </w:t>
      </w:r>
      <w:r>
        <w:rPr>
          <w:color w:val="000000"/>
          <w:sz w:val="20"/>
          <w:szCs w:val="20"/>
        </w:rPr>
        <w:t xml:space="preserve">Disponível em: </w:t>
      </w:r>
      <w:hyperlink r:id="rId7">
        <w:r>
          <w:rPr>
            <w:color w:val="0563C1"/>
            <w:sz w:val="20"/>
            <w:szCs w:val="20"/>
            <w:u w:val="single"/>
          </w:rPr>
          <w:t>https://www.camara.leg.br/proposicoesWeb/prop_mostrarintegra;jsessionid=C1871A314D57BA3CA50048972E5355B7.proposicoesWebExterno1?codteor=1282632&amp;filename=Tramitacao-PL+8032/2014</w:t>
        </w:r>
      </w:hyperlink>
      <w:r>
        <w:rPr>
          <w:color w:val="000000"/>
          <w:sz w:val="20"/>
          <w:szCs w:val="20"/>
        </w:rPr>
        <w:t xml:space="preserve">. </w:t>
      </w:r>
    </w:p>
  </w:footnote>
  <w:footnote w:id="12">
    <w:p>
      <w:pPr>
        <w:pStyle w:val="Normal"/>
        <w:rPr>
          <w:color w:val="000000"/>
          <w:sz w:val="20"/>
        </w:rPr>
      </w:pPr>
      <w:r>
        <w:rPr>
          <w:rStyle w:val="Caracteresdenotaderodap"/>
        </w:rPr>
        <w:footnoteRef/>
      </w:r>
      <w:r>
        <w:rPr>
          <w:color w:val="000000"/>
          <w:sz w:val="20"/>
          <w:szCs w:val="20"/>
        </w:rPr>
        <w:t xml:space="preserve"> </w:t>
      </w:r>
      <w:r>
        <w:rPr>
          <w:color w:val="000000"/>
          <w:sz w:val="20"/>
          <w:szCs w:val="20"/>
        </w:rPr>
        <w:t xml:space="preserve">CFM (2020), disponível em: </w:t>
      </w:r>
      <w:hyperlink r:id="rId8">
        <w:r>
          <w:rPr>
            <w:rStyle w:val="LinkdaInternet"/>
            <w:sz w:val="20"/>
            <w:szCs w:val="20"/>
          </w:rPr>
          <w:t>http://www.in.gov.br/en/web/dou/-/resolucao-n-2.265-de-20-de-setembro-de-2019-237203294</w:t>
        </w:r>
      </w:hyperlink>
      <w:r>
        <w:rPr>
          <w:color w:val="000000"/>
          <w:sz w:val="20"/>
          <w:szCs w:val="20"/>
        </w:rPr>
        <w:t xml:space="preserve">. </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ind w:left="-567" w:hanging="0"/>
      <w:rPr/>
    </w:pPr>
    <w:sdt>
      <w:sdtPr>
        <w:id w:val="497341183"/>
      </w:sdtPr>
      <w:sdtContent>
        <w:r>
          <w:rPr/>
          <w:t>Your</w:t>
        </w:r>
        <w:r>
          <w:rPr/>
          <w:t xml:space="preserve"> text here</w:t>
        </w:r>
      </w:sdtContent>
    </w:sdt>
  </w:p>
  <w:p>
    <w:pPr>
      <w:pStyle w:val="Cabealho"/>
      <w:rPr/>
    </w:pPr>
    <w:r>
      <w:rPr/>
      <w:drawing>
        <wp:anchor behindDoc="1" distT="0" distB="0" distL="114300" distR="114300" simplePos="0" locked="0" layoutInCell="1" allowOverlap="1" relativeHeight="37">
          <wp:simplePos x="0" y="0"/>
          <wp:positionH relativeFrom="column">
            <wp:posOffset>-16510</wp:posOffset>
          </wp:positionH>
          <wp:positionV relativeFrom="paragraph">
            <wp:posOffset>24765</wp:posOffset>
          </wp:positionV>
          <wp:extent cx="1193165" cy="549910"/>
          <wp:effectExtent l="0" t="0" r="0" b="0"/>
          <wp:wrapSquare wrapText="bothSides"/>
          <wp:docPr id="2" name="Imagem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 descr=""/>
                  <pic:cNvPicPr>
                    <a:picLocks noChangeAspect="1" noChangeArrowheads="1"/>
                  </pic:cNvPicPr>
                </pic:nvPicPr>
                <pic:blipFill>
                  <a:blip r:embed="rId1"/>
                  <a:srcRect l="0" t="0" r="76806" b="0"/>
                  <a:stretch>
                    <a:fillRect/>
                  </a:stretch>
                </pic:blipFill>
                <pic:spPr bwMode="auto">
                  <a:xfrm>
                    <a:off x="0" y="0"/>
                    <a:ext cx="1193165" cy="549910"/>
                  </a:xfrm>
                  <a:prstGeom prst="rect">
                    <a:avLst/>
                  </a:prstGeom>
                </pic:spPr>
              </pic:pic>
            </a:graphicData>
          </a:graphic>
        </wp:anchor>
      </w:drawing>
    </w:r>
  </w:p>
  <w:p>
    <w:pPr>
      <w:pStyle w:val="Cabealho"/>
      <w:rPr/>
    </w:pPr>
    <w:r>
      <w:rPr/>
    </w:r>
  </w:p>
  <w:p>
    <w:pPr>
      <w:pStyle w:val="Cabealho"/>
      <w:rPr/>
    </w:pPr>
    <w:r>
      <w:rPr/>
    </w:r>
  </w:p>
  <w:p>
    <w:pPr>
      <w:pStyle w:val="Cabealho"/>
      <w:rPr/>
    </w:pPr>
    <w:r>
      <w:rPr/>
      <w:drawing>
        <wp:inline distT="0" distB="0" distL="0" distR="0">
          <wp:extent cx="7200265" cy="24130"/>
          <wp:effectExtent l="0" t="0" r="0" b="0"/>
          <wp:docPr id="3" name="Imagem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3" descr=""/>
                  <pic:cNvPicPr>
                    <a:picLocks noChangeAspect="1" noChangeArrowheads="1"/>
                  </pic:cNvPicPr>
                </pic:nvPicPr>
                <pic:blipFill>
                  <a:blip r:embed="rId2"/>
                  <a:stretch>
                    <a:fillRect/>
                  </a:stretch>
                </pic:blipFill>
                <pic:spPr bwMode="auto">
                  <a:xfrm>
                    <a:off x="0" y="0"/>
                    <a:ext cx="7200265" cy="24130"/>
                  </a:xfrm>
                  <a:prstGeom prst="rect">
                    <a:avLst/>
                  </a:prstGeom>
                </pic:spPr>
              </pic:pic>
            </a:graphicData>
          </a:graphic>
        </wp:inline>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ind w:left="-567" w:hanging="0"/>
      <w:rPr/>
    </w:pPr>
    <w:r>
      <w:drawing>
        <wp:anchor behindDoc="1" distT="0" distB="0" distL="0" distR="0" simplePos="0" locked="0" layoutInCell="1" allowOverlap="1" relativeHeight="3">
          <wp:simplePos x="0" y="0"/>
          <wp:positionH relativeFrom="column">
            <wp:posOffset>-164465</wp:posOffset>
          </wp:positionH>
          <wp:positionV relativeFrom="paragraph">
            <wp:posOffset>293370</wp:posOffset>
          </wp:positionV>
          <wp:extent cx="7400290" cy="793115"/>
          <wp:effectExtent l="0" t="0" r="0" b="0"/>
          <wp:wrapNone/>
          <wp:docPr id="4" name="Imagem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7" descr=""/>
                  <pic:cNvPicPr>
                    <a:picLocks noChangeAspect="1" noChangeArrowheads="1"/>
                  </pic:cNvPicPr>
                </pic:nvPicPr>
                <pic:blipFill>
                  <a:blip r:embed="rId1"/>
                  <a:stretch>
                    <a:fillRect/>
                  </a:stretch>
                </pic:blipFill>
                <pic:spPr bwMode="auto">
                  <a:xfrm>
                    <a:off x="0" y="0"/>
                    <a:ext cx="7400290" cy="793115"/>
                  </a:xfrm>
                  <a:prstGeom prst="rect">
                    <a:avLst/>
                  </a:prstGeom>
                </pic:spPr>
              </pic:pic>
            </a:graphicData>
          </a:graphic>
        </wp:anchor>
      </w:drawing>
    </w:r>
    <w:r>
      <w:rPr/>
      <w:t>C</w:t>
    </w:r>
    <w:r>
      <w:rPr/>
      <w:t xml:space="preserve">orpos trans: longe de serem corpos dóceis </w:t>
    </w:r>
    <w:sdt>
      <w:sdtPr>
        <w:id w:val="435995401"/>
      </w:sdtPr>
      <w:sdtContent>
        <w:r>
          <w:rPr/>
          <w:t xml:space="preserve">     </w:t>
        </w:r>
      </w:sdtContent>
    </w:sdt>
  </w:p>
</w:hdr>
</file>

<file path=word/settings.xml><?xml version="1.0" encoding="utf-8"?>
<w:settings xmlns:w="http://schemas.openxmlformats.org/wordprocessingml/2006/main">
  <w:zoom w:percent="100"/>
  <w:defaultTabStop w:val="567"/>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pBdr/>
      <w:bidi w:val="0"/>
      <w:spacing w:lineRule="auto" w:line="240" w:before="0" w:after="0"/>
      <w:jc w:val="left"/>
    </w:pPr>
    <w:rPr>
      <w:rFonts w:ascii="Calibri" w:hAnsi="Calibri" w:eastAsia="Calibri" w:cs="Calibri"/>
      <w:color w:val="262626" w:themeColor="text1" w:themeTint="d9"/>
      <w:kern w:val="0"/>
      <w:sz w:val="22"/>
      <w:szCs w:val="22"/>
      <w:lang w:val="pt-BR" w:eastAsia="en-US" w:bidi="ar-SA"/>
    </w:rPr>
  </w:style>
  <w:style w:type="paragraph" w:styleId="Ttulo1">
    <w:name w:val="Heading 1"/>
    <w:basedOn w:val="Normal"/>
    <w:next w:val="Normal"/>
    <w:link w:val="Ttulo1Char"/>
    <w:qFormat/>
    <w:pPr>
      <w:keepNext w:val="true"/>
      <w:spacing w:before="0" w:after="480"/>
      <w:jc w:val="center"/>
      <w:outlineLvl w:val="0"/>
    </w:pPr>
    <w:rPr>
      <w:rFonts w:ascii="Times New Roman" w:hAnsi="Times New Roman" w:eastAsia="Times New Roman" w:cs="Times New Roman"/>
      <w:b/>
      <w:bCs/>
      <w:sz w:val="30"/>
      <w:szCs w:val="20"/>
      <w:lang w:val="it-IT" w:eastAsia="pt-BR"/>
    </w:rPr>
  </w:style>
  <w:style w:type="paragraph" w:styleId="Ttulo2">
    <w:name w:val="Heading 2"/>
    <w:basedOn w:val="Normal"/>
    <w:next w:val="Normal"/>
    <w:link w:val="Ttulo2Char"/>
    <w:uiPriority w:val="9"/>
    <w:unhideWhenUsed/>
    <w:qFormat/>
    <w:pPr>
      <w:keepNext w:val="true"/>
      <w:keepLines/>
      <w:spacing w:before="360" w:after="200"/>
      <w:outlineLvl w:val="1"/>
    </w:pPr>
    <w:rPr>
      <w:rFonts w:ascii="Arial" w:hAnsi="Arial" w:eastAsia="Arial" w:cs="Arial"/>
      <w:sz w:val="34"/>
    </w:rPr>
  </w:style>
  <w:style w:type="paragraph" w:styleId="Ttulo3">
    <w:name w:val="Heading 3"/>
    <w:basedOn w:val="Normal"/>
    <w:next w:val="Normal"/>
    <w:link w:val="Ttulo3Char"/>
    <w:uiPriority w:val="9"/>
    <w:unhideWhenUsed/>
    <w:qFormat/>
    <w:pPr>
      <w:keepNext w:val="true"/>
      <w:keepLines/>
      <w:spacing w:before="320" w:after="200"/>
      <w:outlineLvl w:val="2"/>
    </w:pPr>
    <w:rPr>
      <w:rFonts w:ascii="Arial" w:hAnsi="Arial" w:eastAsia="Arial" w:cs="Arial"/>
      <w:sz w:val="30"/>
      <w:szCs w:val="30"/>
    </w:rPr>
  </w:style>
  <w:style w:type="paragraph" w:styleId="Ttulo4">
    <w:name w:val="Heading 4"/>
    <w:basedOn w:val="Normal"/>
    <w:next w:val="Normal"/>
    <w:link w:val="Ttulo4Char"/>
    <w:uiPriority w:val="9"/>
    <w:unhideWhenUsed/>
    <w:qFormat/>
    <w:pPr>
      <w:keepNext w:val="true"/>
      <w:keepLines/>
      <w:spacing w:before="320" w:after="200"/>
      <w:outlineLvl w:val="3"/>
    </w:pPr>
    <w:rPr>
      <w:rFonts w:ascii="Arial" w:hAnsi="Arial" w:eastAsia="Arial" w:cs="Arial"/>
      <w:b/>
      <w:bCs/>
      <w:sz w:val="26"/>
      <w:szCs w:val="26"/>
    </w:rPr>
  </w:style>
  <w:style w:type="paragraph" w:styleId="Ttulo5">
    <w:name w:val="Heading 5"/>
    <w:basedOn w:val="Normal"/>
    <w:next w:val="Normal"/>
    <w:link w:val="Ttulo5Char"/>
    <w:uiPriority w:val="9"/>
    <w:unhideWhenUsed/>
    <w:qFormat/>
    <w:pPr>
      <w:keepNext w:val="true"/>
      <w:keepLines/>
      <w:spacing w:before="320" w:after="200"/>
      <w:outlineLvl w:val="4"/>
    </w:pPr>
    <w:rPr>
      <w:rFonts w:ascii="Arial" w:hAnsi="Arial" w:eastAsia="Arial" w:cs="Arial"/>
      <w:b/>
      <w:bCs/>
      <w:sz w:val="24"/>
      <w:szCs w:val="24"/>
    </w:rPr>
  </w:style>
  <w:style w:type="paragraph" w:styleId="Ttulo6">
    <w:name w:val="Heading 6"/>
    <w:basedOn w:val="Normal"/>
    <w:next w:val="Normal"/>
    <w:link w:val="Ttulo6Char"/>
    <w:uiPriority w:val="9"/>
    <w:unhideWhenUsed/>
    <w:qFormat/>
    <w:pPr>
      <w:keepNext w:val="true"/>
      <w:keepLines/>
      <w:spacing w:before="320" w:after="200"/>
      <w:outlineLvl w:val="5"/>
    </w:pPr>
    <w:rPr>
      <w:rFonts w:ascii="Arial" w:hAnsi="Arial" w:eastAsia="Arial" w:cs="Arial"/>
      <w:b/>
      <w:bCs/>
    </w:rPr>
  </w:style>
  <w:style w:type="paragraph" w:styleId="Ttulo7">
    <w:name w:val="Heading 7"/>
    <w:basedOn w:val="Normal"/>
    <w:next w:val="Normal"/>
    <w:link w:val="Ttulo7Char"/>
    <w:uiPriority w:val="9"/>
    <w:unhideWhenUsed/>
    <w:qFormat/>
    <w:pPr>
      <w:keepNext w:val="true"/>
      <w:keepLines/>
      <w:spacing w:before="320" w:after="200"/>
      <w:outlineLvl w:val="6"/>
    </w:pPr>
    <w:rPr>
      <w:rFonts w:ascii="Arial" w:hAnsi="Arial" w:eastAsia="Arial" w:cs="Arial"/>
      <w:b/>
      <w:bCs/>
      <w:i/>
      <w:iCs/>
    </w:rPr>
  </w:style>
  <w:style w:type="paragraph" w:styleId="Ttulo8">
    <w:name w:val="Heading 8"/>
    <w:basedOn w:val="Normal"/>
    <w:next w:val="Normal"/>
    <w:link w:val="Ttulo8Char"/>
    <w:uiPriority w:val="9"/>
    <w:unhideWhenUsed/>
    <w:qFormat/>
    <w:pPr>
      <w:keepNext w:val="true"/>
      <w:keepLines/>
      <w:spacing w:before="320" w:after="200"/>
      <w:outlineLvl w:val="7"/>
    </w:pPr>
    <w:rPr>
      <w:rFonts w:ascii="Arial" w:hAnsi="Arial" w:eastAsia="Arial" w:cs="Arial"/>
      <w:i/>
      <w:iCs/>
    </w:rPr>
  </w:style>
  <w:style w:type="paragraph" w:styleId="Ttulo9">
    <w:name w:val="Heading 9"/>
    <w:basedOn w:val="Normal"/>
    <w:next w:val="Normal"/>
    <w:link w:val="Ttulo9Char"/>
    <w:uiPriority w:val="9"/>
    <w:unhideWhenUsed/>
    <w:qFormat/>
    <w:pPr>
      <w:keepNext w:val="true"/>
      <w:keepLines/>
      <w:spacing w:before="320" w:after="200"/>
      <w:outlineLvl w:val="8"/>
    </w:pPr>
    <w:rPr>
      <w:rFonts w:ascii="Arial" w:hAnsi="Arial" w:eastAsia="Arial" w:cs="Arial"/>
      <w:i/>
      <w:iCs/>
      <w:sz w:val="21"/>
      <w:szCs w:val="21"/>
    </w:rPr>
  </w:style>
  <w:style w:type="character" w:styleId="DefaultParagraphFont" w:default="1">
    <w:name w:val="Default Paragraph Font"/>
    <w:uiPriority w:val="1"/>
    <w:unhideWhenUsed/>
    <w:qFormat/>
    <w:rPr/>
  </w:style>
  <w:style w:type="character" w:styleId="Heading1Char" w:customStyle="1">
    <w:name w:val="Heading 1 Char"/>
    <w:basedOn w:val="DefaultParagraphFont"/>
    <w:uiPriority w:val="9"/>
    <w:qFormat/>
    <w:rPr>
      <w:rFonts w:ascii="Arial" w:hAnsi="Arial" w:eastAsia="Arial" w:cs="Arial"/>
      <w:sz w:val="40"/>
      <w:szCs w:val="40"/>
    </w:rPr>
  </w:style>
  <w:style w:type="character" w:styleId="Ttulo2Char" w:customStyle="1">
    <w:name w:val="Título 2 Char"/>
    <w:basedOn w:val="DefaultParagraphFont"/>
    <w:link w:val="Ttulo2"/>
    <w:uiPriority w:val="9"/>
    <w:qFormat/>
    <w:rPr>
      <w:rFonts w:ascii="Arial" w:hAnsi="Arial" w:eastAsia="Arial" w:cs="Arial"/>
      <w:sz w:val="34"/>
    </w:rPr>
  </w:style>
  <w:style w:type="character" w:styleId="Ttulo3Char" w:customStyle="1">
    <w:name w:val="Título 3 Char"/>
    <w:basedOn w:val="DefaultParagraphFont"/>
    <w:link w:val="Ttulo3"/>
    <w:uiPriority w:val="9"/>
    <w:qFormat/>
    <w:rPr>
      <w:rFonts w:ascii="Arial" w:hAnsi="Arial" w:eastAsia="Arial" w:cs="Arial"/>
      <w:sz w:val="30"/>
      <w:szCs w:val="30"/>
    </w:rPr>
  </w:style>
  <w:style w:type="character" w:styleId="Ttulo4Char" w:customStyle="1">
    <w:name w:val="Título 4 Char"/>
    <w:basedOn w:val="DefaultParagraphFont"/>
    <w:link w:val="Ttulo4"/>
    <w:uiPriority w:val="9"/>
    <w:qFormat/>
    <w:rPr>
      <w:rFonts w:ascii="Arial" w:hAnsi="Arial" w:eastAsia="Arial" w:cs="Arial"/>
      <w:b/>
      <w:bCs/>
      <w:sz w:val="26"/>
      <w:szCs w:val="26"/>
    </w:rPr>
  </w:style>
  <w:style w:type="character" w:styleId="Ttulo5Char" w:customStyle="1">
    <w:name w:val="Título 5 Char"/>
    <w:basedOn w:val="DefaultParagraphFont"/>
    <w:link w:val="Ttulo5"/>
    <w:uiPriority w:val="9"/>
    <w:qFormat/>
    <w:rPr>
      <w:rFonts w:ascii="Arial" w:hAnsi="Arial" w:eastAsia="Arial" w:cs="Arial"/>
      <w:b/>
      <w:bCs/>
      <w:sz w:val="24"/>
      <w:szCs w:val="24"/>
    </w:rPr>
  </w:style>
  <w:style w:type="character" w:styleId="Ttulo6Char" w:customStyle="1">
    <w:name w:val="Título 6 Char"/>
    <w:basedOn w:val="DefaultParagraphFont"/>
    <w:link w:val="Ttulo6"/>
    <w:uiPriority w:val="9"/>
    <w:qFormat/>
    <w:rPr>
      <w:rFonts w:ascii="Arial" w:hAnsi="Arial" w:eastAsia="Arial" w:cs="Arial"/>
      <w:b/>
      <w:bCs/>
      <w:sz w:val="22"/>
      <w:szCs w:val="22"/>
    </w:rPr>
  </w:style>
  <w:style w:type="character" w:styleId="Ttulo7Char" w:customStyle="1">
    <w:name w:val="Título 7 Char"/>
    <w:basedOn w:val="DefaultParagraphFont"/>
    <w:link w:val="Ttulo7"/>
    <w:uiPriority w:val="9"/>
    <w:qFormat/>
    <w:rPr>
      <w:rFonts w:ascii="Arial" w:hAnsi="Arial" w:eastAsia="Arial" w:cs="Arial"/>
      <w:b/>
      <w:bCs/>
      <w:i/>
      <w:iCs/>
      <w:sz w:val="22"/>
      <w:szCs w:val="22"/>
    </w:rPr>
  </w:style>
  <w:style w:type="character" w:styleId="Ttulo8Char" w:customStyle="1">
    <w:name w:val="Título 8 Char"/>
    <w:basedOn w:val="DefaultParagraphFont"/>
    <w:link w:val="Ttulo8"/>
    <w:uiPriority w:val="9"/>
    <w:qFormat/>
    <w:rPr>
      <w:rFonts w:ascii="Arial" w:hAnsi="Arial" w:eastAsia="Arial" w:cs="Arial"/>
      <w:i/>
      <w:iCs/>
      <w:sz w:val="22"/>
      <w:szCs w:val="22"/>
    </w:rPr>
  </w:style>
  <w:style w:type="character" w:styleId="Ttulo9Char" w:customStyle="1">
    <w:name w:val="Título 9 Char"/>
    <w:basedOn w:val="DefaultParagraphFont"/>
    <w:link w:val="Ttulo9"/>
    <w:uiPriority w:val="9"/>
    <w:qFormat/>
    <w:rPr>
      <w:rFonts w:ascii="Arial" w:hAnsi="Arial" w:eastAsia="Arial" w:cs="Arial"/>
      <w:i/>
      <w:iCs/>
      <w:sz w:val="21"/>
      <w:szCs w:val="21"/>
    </w:rPr>
  </w:style>
  <w:style w:type="character" w:styleId="TtuloChar" w:customStyle="1">
    <w:name w:val="Título Char"/>
    <w:basedOn w:val="DefaultParagraphFont"/>
    <w:link w:val="Ttulo"/>
    <w:uiPriority w:val="10"/>
    <w:qFormat/>
    <w:rPr>
      <w:sz w:val="48"/>
      <w:szCs w:val="48"/>
    </w:rPr>
  </w:style>
  <w:style w:type="character" w:styleId="SubttuloChar" w:customStyle="1">
    <w:name w:val="Subtítulo Char"/>
    <w:basedOn w:val="DefaultParagraphFont"/>
    <w:link w:val="Subttulo"/>
    <w:uiPriority w:val="11"/>
    <w:qFormat/>
    <w:rPr>
      <w:sz w:val="24"/>
      <w:szCs w:val="24"/>
    </w:rPr>
  </w:style>
  <w:style w:type="character" w:styleId="CitaoChar" w:customStyle="1">
    <w:name w:val="Citação Char"/>
    <w:link w:val="Citao"/>
    <w:uiPriority w:val="29"/>
    <w:qFormat/>
    <w:rPr>
      <w:i/>
    </w:rPr>
  </w:style>
  <w:style w:type="character" w:styleId="CitaoIntensaChar" w:customStyle="1">
    <w:name w:val="Citação Intensa Char"/>
    <w:link w:val="CitaoIntensa"/>
    <w:uiPriority w:val="30"/>
    <w:qFormat/>
    <w:rPr>
      <w:i/>
    </w:rPr>
  </w:style>
  <w:style w:type="character" w:styleId="HeaderChar" w:customStyle="1">
    <w:name w:val="Header Char"/>
    <w:basedOn w:val="DefaultParagraphFont"/>
    <w:uiPriority w:val="99"/>
    <w:qFormat/>
    <w:rPr/>
  </w:style>
  <w:style w:type="character" w:styleId="FooterChar" w:customStyle="1">
    <w:name w:val="Footer Char"/>
    <w:basedOn w:val="DefaultParagraphFont"/>
    <w:uiPriority w:val="99"/>
    <w:qFormat/>
    <w:rPr/>
  </w:style>
  <w:style w:type="character" w:styleId="TextodenotaderodapChar" w:customStyle="1">
    <w:name w:val="Texto de nota de rodapé Char"/>
    <w:link w:val="Textodenotaderodap"/>
    <w:uiPriority w:val="99"/>
    <w:qFormat/>
    <w:rPr>
      <w:sz w:val="18"/>
    </w:rPr>
  </w:style>
  <w:style w:type="character" w:styleId="Ncoradanotaderodap">
    <w:name w:val="Âncora da nota de rodapé"/>
    <w:rPr>
      <w:vertAlign w:val="superscript"/>
    </w:rPr>
  </w:style>
  <w:style w:type="character" w:styleId="FootnoteCharacters">
    <w:name w:val="Footnote Characters"/>
    <w:basedOn w:val="DefaultParagraphFont"/>
    <w:uiPriority w:val="99"/>
    <w:unhideWhenUsed/>
    <w:qFormat/>
    <w:rPr>
      <w:vertAlign w:val="superscript"/>
    </w:rPr>
  </w:style>
  <w:style w:type="character" w:styleId="CabealhoChar" w:customStyle="1">
    <w:name w:val="Cabeçalho Char"/>
    <w:basedOn w:val="DefaultParagraphFont"/>
    <w:link w:val="Cabealho"/>
    <w:uiPriority w:val="99"/>
    <w:qFormat/>
    <w:rPr>
      <w:lang w:val="fr-FR"/>
    </w:rPr>
  </w:style>
  <w:style w:type="character" w:styleId="RodapChar" w:customStyle="1">
    <w:name w:val="Rodapé Char"/>
    <w:basedOn w:val="DefaultParagraphFont"/>
    <w:link w:val="Rodap"/>
    <w:uiPriority w:val="99"/>
    <w:qFormat/>
    <w:rPr>
      <w:color w:val="262626" w:themeColor="text1" w:themeTint="d9"/>
    </w:rPr>
  </w:style>
  <w:style w:type="character" w:styleId="Pagenumber">
    <w:name w:val="page number"/>
    <w:basedOn w:val="DefaultParagraphFont"/>
    <w:uiPriority w:val="99"/>
    <w:unhideWhenUsed/>
    <w:qFormat/>
    <w:rPr>
      <w:color w:val="EC6608"/>
    </w:rPr>
  </w:style>
  <w:style w:type="character" w:styleId="Ttulo1Char" w:customStyle="1">
    <w:name w:val="Título 1 Char"/>
    <w:basedOn w:val="DefaultParagraphFont"/>
    <w:link w:val="Ttulo1"/>
    <w:qFormat/>
    <w:rPr>
      <w:rFonts w:ascii="Times New Roman" w:hAnsi="Times New Roman" w:eastAsia="Times New Roman" w:cs="Times New Roman"/>
      <w:b/>
      <w:bCs/>
      <w:sz w:val="30"/>
      <w:szCs w:val="20"/>
      <w:lang w:val="it-IT" w:eastAsia="pt-BR"/>
    </w:rPr>
  </w:style>
  <w:style w:type="character" w:styleId="TextodebaloChar" w:customStyle="1">
    <w:name w:val="Texto de balão Char"/>
    <w:basedOn w:val="DefaultParagraphFont"/>
    <w:link w:val="Textodebalo"/>
    <w:uiPriority w:val="99"/>
    <w:semiHidden/>
    <w:qFormat/>
    <w:rPr>
      <w:rFonts w:ascii="Lucida Grande" w:hAnsi="Lucida Grande"/>
      <w:sz w:val="18"/>
      <w:szCs w:val="18"/>
      <w:lang w:val="fr-FR"/>
    </w:rPr>
  </w:style>
  <w:style w:type="character" w:styleId="Palavraschave" w:customStyle="1">
    <w:name w:val="_palavras-chave"/>
    <w:basedOn w:val="DefaultParagraphFont"/>
    <w:uiPriority w:val="1"/>
    <w:qFormat/>
    <w:rPr>
      <w:rFonts w:ascii="Calibri" w:hAnsi="Calibri"/>
      <w:b/>
      <w:color w:val="EC6608"/>
      <w:sz w:val="20"/>
    </w:rPr>
  </w:style>
  <w:style w:type="character" w:styleId="Resumoanteposto" w:customStyle="1">
    <w:name w:val="_resumo_anteposto"/>
    <w:basedOn w:val="DefaultParagraphFont"/>
    <w:uiPriority w:val="1"/>
    <w:qFormat/>
    <w:rPr>
      <w:b w:val="false"/>
      <w:color w:val="EC6608"/>
    </w:rPr>
  </w:style>
  <w:style w:type="character" w:styleId="Creditoanteposto" w:customStyle="1">
    <w:name w:val="_credito_anteposto"/>
    <w:basedOn w:val="DefaultParagraphFont"/>
    <w:uiPriority w:val="1"/>
    <w:qFormat/>
    <w:rPr>
      <w:b/>
      <w:color w:val="EC6608"/>
    </w:rPr>
  </w:style>
  <w:style w:type="character" w:styleId="LinkdaInternet">
    <w:name w:val="Link da Internet"/>
    <w:basedOn w:val="DefaultParagraphFont"/>
    <w:uiPriority w:val="99"/>
    <w:unhideWhenUsed/>
    <w:rPr>
      <w:color w:val="0563C1" w:themeColor="hyperlink"/>
      <w:u w:val="single"/>
    </w:rPr>
  </w:style>
  <w:style w:type="character" w:styleId="CorpodetextoChar" w:customStyle="1">
    <w:name w:val="Corpo de texto Char"/>
    <w:basedOn w:val="DefaultParagraphFont"/>
    <w:link w:val="Corpodetexto"/>
    <w:qFormat/>
    <w:rPr>
      <w:rFonts w:ascii="Times New Roman" w:hAnsi="Times New Roman" w:eastAsia="Times New Roman" w:cs="Times New Roman"/>
      <w:sz w:val="24"/>
      <w:szCs w:val="20"/>
      <w:lang w:val="it-IT" w:eastAsia="pt-BR"/>
    </w:rPr>
  </w:style>
  <w:style w:type="character" w:styleId="Corpodetexto2Char" w:customStyle="1">
    <w:name w:val="Corpo de texto 2 Char"/>
    <w:basedOn w:val="DefaultParagraphFont"/>
    <w:link w:val="Corpodetexto2"/>
    <w:uiPriority w:val="99"/>
    <w:semiHidden/>
    <w:qFormat/>
    <w:rPr>
      <w:color w:val="262626"/>
    </w:rPr>
  </w:style>
  <w:style w:type="character" w:styleId="UnresolvedMention">
    <w:name w:val="Unresolved Mention"/>
    <w:basedOn w:val="DefaultParagraphFont"/>
    <w:uiPriority w:val="99"/>
    <w:semiHidden/>
    <w:unhideWhenUsed/>
    <w:qFormat/>
    <w:rsid w:val="005c2b4a"/>
    <w:rPr>
      <w:color w:val="605E5C"/>
      <w:shd w:fill="E1DFDD" w:val="clear"/>
    </w:rPr>
  </w:style>
  <w:style w:type="character" w:styleId="Caracteresdenotaderodap">
    <w:name w:val="Caracteres de nota de rodapé"/>
    <w:qFormat/>
    <w:rPr/>
  </w:style>
  <w:style w:type="character" w:styleId="Ncoradanotadefim">
    <w:name w:val="Âncora da nota de fim"/>
    <w:rPr>
      <w:vertAlign w:val="superscript"/>
    </w:rPr>
  </w:style>
  <w:style w:type="character" w:styleId="Caracteresdenotadefim">
    <w:name w:val="Caracteres de nota de fim"/>
    <w:qFormat/>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link w:val="CorpodetextoChar"/>
    <w:pPr>
      <w:widowControl w:val="false"/>
      <w:spacing w:before="0" w:after="120"/>
      <w:jc w:val="both"/>
    </w:pPr>
    <w:rPr>
      <w:rFonts w:ascii="Times New Roman" w:hAnsi="Times New Roman" w:eastAsia="Times New Roman" w:cs="Times New Roman"/>
      <w:color w:val="auto"/>
      <w:sz w:val="24"/>
      <w:szCs w:val="20"/>
      <w:lang w:val="it-IT" w:eastAsia="pt-B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Spacing">
    <w:name w:val="No Spacing"/>
    <w:uiPriority w:val="1"/>
    <w:qFormat/>
    <w:pPr>
      <w:widowControl/>
      <w:pBdr/>
      <w:bidi w:val="0"/>
      <w:spacing w:lineRule="auto" w:line="240" w:before="0" w:after="0"/>
      <w:jc w:val="left"/>
    </w:pPr>
    <w:rPr>
      <w:rFonts w:ascii="Calibri" w:hAnsi="Calibri" w:eastAsia="Calibri" w:cs="Calibri"/>
      <w:color w:val="auto"/>
      <w:kern w:val="0"/>
      <w:sz w:val="22"/>
      <w:szCs w:val="22"/>
      <w:lang w:val="pt-BR" w:eastAsia="en-US" w:bidi="ar-SA"/>
    </w:rPr>
  </w:style>
  <w:style w:type="paragraph" w:styleId="Ttulododocumento">
    <w:name w:val="Title"/>
    <w:basedOn w:val="Normal"/>
    <w:next w:val="Normal"/>
    <w:link w:val="TtuloChar"/>
    <w:uiPriority w:val="10"/>
    <w:qFormat/>
    <w:pPr>
      <w:spacing w:before="300" w:after="200"/>
      <w:contextualSpacing/>
    </w:pPr>
    <w:rPr>
      <w:sz w:val="48"/>
      <w:szCs w:val="48"/>
    </w:rPr>
  </w:style>
  <w:style w:type="paragraph" w:styleId="Subttulo">
    <w:name w:val="Subtitle"/>
    <w:basedOn w:val="Normal"/>
    <w:next w:val="Normal"/>
    <w:link w:val="SubttuloChar"/>
    <w:uiPriority w:val="11"/>
    <w:qFormat/>
    <w:pPr>
      <w:spacing w:before="200" w:after="200"/>
    </w:pPr>
    <w:rPr>
      <w:sz w:val="24"/>
      <w:szCs w:val="24"/>
    </w:rPr>
  </w:style>
  <w:style w:type="paragraph" w:styleId="Quote">
    <w:name w:val="Quote"/>
    <w:basedOn w:val="Normal"/>
    <w:next w:val="Normal"/>
    <w:link w:val="CitaoChar"/>
    <w:uiPriority w:val="29"/>
    <w:qFormat/>
    <w:pPr>
      <w:ind w:left="720" w:right="720" w:hanging="0"/>
    </w:pPr>
    <w:rPr>
      <w:i/>
    </w:rPr>
  </w:style>
  <w:style w:type="paragraph" w:styleId="IntenseQuote">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hanging="0"/>
    </w:pPr>
    <w:rPr>
      <w:i/>
    </w:rPr>
  </w:style>
  <w:style w:type="paragraph" w:styleId="Notaderodap">
    <w:name w:val="Footnote Text"/>
    <w:basedOn w:val="Normal"/>
    <w:link w:val="TextodenotaderodapChar"/>
    <w:uiPriority w:val="99"/>
    <w:semiHidden/>
    <w:unhideWhenUsed/>
    <w:pPr>
      <w:spacing w:before="0" w:after="40"/>
    </w:pPr>
    <w:rPr>
      <w:sz w:val="18"/>
    </w:rPr>
  </w:style>
  <w:style w:type="paragraph" w:styleId="Sumrio1">
    <w:name w:val="TOC 1"/>
    <w:basedOn w:val="Normal"/>
    <w:next w:val="Normal"/>
    <w:uiPriority w:val="39"/>
    <w:unhideWhenUsed/>
    <w:pPr>
      <w:spacing w:before="0" w:after="57"/>
    </w:pPr>
    <w:rPr/>
  </w:style>
  <w:style w:type="paragraph" w:styleId="Sumrio2">
    <w:name w:val="TOC 2"/>
    <w:basedOn w:val="Normal"/>
    <w:next w:val="Normal"/>
    <w:uiPriority w:val="39"/>
    <w:unhideWhenUsed/>
    <w:pPr>
      <w:spacing w:before="0" w:after="57"/>
      <w:ind w:left="283" w:hanging="0"/>
    </w:pPr>
    <w:rPr/>
  </w:style>
  <w:style w:type="paragraph" w:styleId="Sumrio3">
    <w:name w:val="TOC 3"/>
    <w:basedOn w:val="Normal"/>
    <w:next w:val="Normal"/>
    <w:uiPriority w:val="39"/>
    <w:unhideWhenUsed/>
    <w:pPr>
      <w:spacing w:before="0" w:after="57"/>
      <w:ind w:left="567" w:hanging="0"/>
    </w:pPr>
    <w:rPr/>
  </w:style>
  <w:style w:type="paragraph" w:styleId="Sumrio4">
    <w:name w:val="TOC 4"/>
    <w:basedOn w:val="Normal"/>
    <w:next w:val="Normal"/>
    <w:uiPriority w:val="39"/>
    <w:unhideWhenUsed/>
    <w:pPr>
      <w:spacing w:before="0" w:after="57"/>
      <w:ind w:left="850" w:hanging="0"/>
    </w:pPr>
    <w:rPr/>
  </w:style>
  <w:style w:type="paragraph" w:styleId="Sumrio5">
    <w:name w:val="TOC 5"/>
    <w:basedOn w:val="Normal"/>
    <w:next w:val="Normal"/>
    <w:uiPriority w:val="39"/>
    <w:unhideWhenUsed/>
    <w:pPr>
      <w:spacing w:before="0" w:after="57"/>
      <w:ind w:left="1134" w:hanging="0"/>
    </w:pPr>
    <w:rPr/>
  </w:style>
  <w:style w:type="paragraph" w:styleId="Sumrio6">
    <w:name w:val="TOC 6"/>
    <w:basedOn w:val="Normal"/>
    <w:next w:val="Normal"/>
    <w:uiPriority w:val="39"/>
    <w:unhideWhenUsed/>
    <w:pPr>
      <w:spacing w:before="0" w:after="57"/>
      <w:ind w:left="1417" w:hanging="0"/>
    </w:pPr>
    <w:rPr/>
  </w:style>
  <w:style w:type="paragraph" w:styleId="Sumrio7">
    <w:name w:val="TOC 7"/>
    <w:basedOn w:val="Normal"/>
    <w:next w:val="Normal"/>
    <w:uiPriority w:val="39"/>
    <w:unhideWhenUsed/>
    <w:pPr>
      <w:spacing w:before="0" w:after="57"/>
      <w:ind w:left="1701" w:hanging="0"/>
    </w:pPr>
    <w:rPr/>
  </w:style>
  <w:style w:type="paragraph" w:styleId="Sumrio8">
    <w:name w:val="TOC 8"/>
    <w:basedOn w:val="Normal"/>
    <w:next w:val="Normal"/>
    <w:uiPriority w:val="39"/>
    <w:unhideWhenUsed/>
    <w:pPr>
      <w:spacing w:before="0" w:after="57"/>
      <w:ind w:left="1984" w:hanging="0"/>
    </w:pPr>
    <w:rPr/>
  </w:style>
  <w:style w:type="paragraph" w:styleId="Sumrio9">
    <w:name w:val="TOC 9"/>
    <w:basedOn w:val="Normal"/>
    <w:next w:val="Normal"/>
    <w:uiPriority w:val="39"/>
    <w:unhideWhenUsed/>
    <w:pPr>
      <w:spacing w:before="0" w:after="57"/>
      <w:ind w:left="2268" w:hanging="0"/>
    </w:pPr>
    <w:rPr/>
  </w:style>
  <w:style w:type="paragraph" w:styleId="TOCHeading">
    <w:name w:val="TOC Heading"/>
    <w:uiPriority w:val="39"/>
    <w:unhideWhenUsed/>
    <w:qFormat/>
    <w:pPr>
      <w:widowControl/>
      <w:pBdr/>
      <w:bidi w:val="0"/>
      <w:spacing w:lineRule="auto" w:line="259" w:before="0" w:after="160"/>
      <w:jc w:val="left"/>
    </w:pPr>
    <w:rPr>
      <w:rFonts w:ascii="Calibri" w:hAnsi="Calibri" w:eastAsia="Calibri" w:cs="Calibri"/>
      <w:color w:val="auto"/>
      <w:kern w:val="0"/>
      <w:sz w:val="22"/>
      <w:szCs w:val="22"/>
      <w:lang w:val="pt-BR" w:eastAsia="en-US" w:bidi="ar-SA"/>
    </w:rPr>
  </w:style>
  <w:style w:type="paragraph" w:styleId="CabealhoeRodap">
    <w:name w:val="Cabeçalho e Rodapé"/>
    <w:basedOn w:val="Normal"/>
    <w:qFormat/>
    <w:pPr/>
    <w:rPr/>
  </w:style>
  <w:style w:type="paragraph" w:styleId="Cabealho">
    <w:name w:val="Header"/>
    <w:basedOn w:val="Normal"/>
    <w:link w:val="CabealhoChar"/>
    <w:uiPriority w:val="99"/>
    <w:unhideWhenUsed/>
    <w:pPr>
      <w:tabs>
        <w:tab w:val="clear" w:pos="567"/>
        <w:tab w:val="center" w:pos="4252" w:leader="none"/>
        <w:tab w:val="right" w:pos="8504" w:leader="none"/>
      </w:tabs>
    </w:pPr>
    <w:rPr/>
  </w:style>
  <w:style w:type="paragraph" w:styleId="ListParagraph">
    <w:name w:val="List Paragraph"/>
    <w:basedOn w:val="Normal"/>
    <w:uiPriority w:val="34"/>
    <w:qFormat/>
    <w:pPr>
      <w:spacing w:before="0" w:after="0"/>
      <w:ind w:left="720" w:hanging="0"/>
      <w:contextualSpacing/>
    </w:pPr>
    <w:rPr/>
  </w:style>
  <w:style w:type="paragraph" w:styleId="Rodap">
    <w:name w:val="Footer"/>
    <w:basedOn w:val="Normal"/>
    <w:link w:val="RodapChar"/>
    <w:uiPriority w:val="99"/>
    <w:unhideWhenUsed/>
    <w:pPr>
      <w:tabs>
        <w:tab w:val="clear" w:pos="567"/>
        <w:tab w:val="center" w:pos="4252" w:leader="none"/>
        <w:tab w:val="right" w:pos="8504" w:leader="none"/>
      </w:tabs>
    </w:pPr>
    <w:rPr/>
  </w:style>
  <w:style w:type="paragraph" w:styleId="BalloonText">
    <w:name w:val="Balloon Text"/>
    <w:basedOn w:val="Normal"/>
    <w:link w:val="TextodebaloChar"/>
    <w:uiPriority w:val="99"/>
    <w:semiHidden/>
    <w:unhideWhenUsed/>
    <w:qFormat/>
    <w:pPr/>
    <w:rPr>
      <w:rFonts w:ascii="Lucida Grande" w:hAnsi="Lucida Grande"/>
      <w:sz w:val="18"/>
      <w:szCs w:val="18"/>
    </w:rPr>
  </w:style>
  <w:style w:type="paragraph" w:styleId="Secaosecundaria" w:customStyle="1">
    <w:name w:val="_secao_secundaria"/>
    <w:basedOn w:val="Normal"/>
    <w:qFormat/>
    <w:pPr>
      <w:spacing w:before="480" w:after="240"/>
      <w:ind w:left="2835" w:hanging="0"/>
    </w:pPr>
    <w:rPr>
      <w:color w:val="EC6608"/>
      <w:szCs w:val="20"/>
    </w:rPr>
  </w:style>
  <w:style w:type="paragraph" w:styleId="Secaoterciaria" w:customStyle="1">
    <w:name w:val="_secao_terciaria"/>
    <w:basedOn w:val="Normal"/>
    <w:qFormat/>
    <w:pPr>
      <w:spacing w:before="480" w:after="240"/>
      <w:ind w:left="2835" w:hanging="0"/>
    </w:pPr>
    <w:rPr>
      <w:color w:val="EC6608"/>
      <w:szCs w:val="20"/>
    </w:rPr>
  </w:style>
  <w:style w:type="paragraph" w:styleId="Secaoquaternaria" w:customStyle="1">
    <w:name w:val="_secao_quaternaria"/>
    <w:basedOn w:val="Secaoterciaria"/>
    <w:qFormat/>
    <w:pPr/>
    <w:rPr/>
  </w:style>
  <w:style w:type="paragraph" w:styleId="Secaoquinaria" w:customStyle="1">
    <w:name w:val="_secao_quinaria"/>
    <w:basedOn w:val="Secaoquaternaria"/>
    <w:qFormat/>
    <w:pPr/>
    <w:rPr>
      <w:i/>
      <w:color w:val="000000" w:themeColor="text1"/>
      <w14:textFill>
        <w14:solidFill>
          <w14:schemeClr w14:val="tx1">
            <w14:lumMod w14:val="85000"/>
            <w14:lumOff w14:val="15000"/>
            <w14:lumMod w14:val="85000"/>
            <w14:lumOff w14:val="15000"/>
          </w14:schemeClr>
        </w14:solidFill>
      </w14:textFill>
    </w:rPr>
  </w:style>
  <w:style w:type="paragraph" w:styleId="Linkrevista" w:customStyle="1">
    <w:name w:val="_link_revista"/>
    <w:basedOn w:val="Normal"/>
    <w:qFormat/>
    <w:pPr>
      <w:jc w:val="right"/>
    </w:pPr>
    <w:rPr>
      <w:rFonts w:ascii="Arial" w:hAnsi="Arial" w:cs="Arial"/>
      <w:color w:val="0563C1"/>
      <w:sz w:val="14"/>
      <w:szCs w:val="14"/>
      <w:u w:val="single"/>
      <w14:textFill>
        <w14:solidFill>
          <w14:srgbClr w14:val="0563C1">
            <w14:lumMod w14:val="85000"/>
            <w14:lumOff w14:val="15000"/>
          </w14:srgbClr>
        </w14:solidFill>
      </w14:textFill>
    </w:rPr>
  </w:style>
  <w:style w:type="paragraph" w:styleId="Tituloprincipal" w:customStyle="1">
    <w:name w:val="_titulo_principal"/>
    <w:basedOn w:val="Normal"/>
    <w:qFormat/>
    <w:pPr>
      <w:spacing w:before="480" w:after="240"/>
    </w:pPr>
    <w:rPr>
      <w:b/>
      <w:color w:val="575757"/>
      <w:sz w:val="40"/>
      <w:szCs w:val="40"/>
      <w14:textFill>
        <w14:solidFill>
          <w14:srgbClr w14:val="575757">
            <w14:lumMod w14:val="85000"/>
            <w14:lumOff w14:val="15000"/>
          </w14:srgbClr>
        </w14:solidFill>
      </w14:textFill>
    </w:rPr>
  </w:style>
  <w:style w:type="paragraph" w:styleId="Secaoprimcentral" w:customStyle="1">
    <w:name w:val="_secao_prim_central"/>
    <w:basedOn w:val="Normal"/>
    <w:qFormat/>
    <w:pPr>
      <w:spacing w:before="480" w:after="240"/>
      <w:jc w:val="center"/>
    </w:pPr>
    <w:rPr>
      <w:b/>
      <w:color w:val="EC6608"/>
      <w14:textFill>
        <w14:solidFill>
          <w14:srgbClr w14:val="EC6608">
            <w14:lumMod w14:val="85000"/>
            <w14:lumOff w14:val="15000"/>
          </w14:srgbClr>
        </w14:solidFill>
      </w14:textFill>
    </w:rPr>
  </w:style>
  <w:style w:type="paragraph" w:styleId="Autor" w:customStyle="1">
    <w:name w:val="_autor"/>
    <w:basedOn w:val="Normal"/>
    <w:qFormat/>
    <w:pPr/>
    <w:rPr>
      <w:rFonts w:ascii="Arial" w:hAnsi="Arial" w:cs="Arial"/>
      <w:b/>
      <w:sz w:val="14"/>
      <w:szCs w:val="14"/>
    </w:rPr>
  </w:style>
  <w:style w:type="paragraph" w:styleId="EmailautoreOrcid" w:customStyle="1">
    <w:name w:val="_email_autor_e_Orcid"/>
    <w:basedOn w:val="Normal"/>
    <w:qFormat/>
    <w:pPr/>
    <w:rPr>
      <w:rFonts w:ascii="Arial" w:hAnsi="Arial" w:cs="Arial"/>
      <w:sz w:val="12"/>
      <w:szCs w:val="12"/>
    </w:rPr>
  </w:style>
  <w:style w:type="paragraph" w:styleId="Afiliacao" w:customStyle="1">
    <w:name w:val="_afiliacao"/>
    <w:basedOn w:val="Normal"/>
    <w:qFormat/>
    <w:pPr>
      <w:spacing w:before="0" w:after="240"/>
    </w:pPr>
    <w:rPr>
      <w:rFonts w:ascii="Arial" w:hAnsi="Arial" w:cs="Arial"/>
      <w:sz w:val="14"/>
      <w:szCs w:val="14"/>
    </w:rPr>
  </w:style>
  <w:style w:type="paragraph" w:styleId="Resumo" w:customStyle="1">
    <w:name w:val="_resumo"/>
    <w:basedOn w:val="Normal"/>
    <w:qFormat/>
    <w:pPr>
      <w:spacing w:before="0" w:after="120"/>
      <w:ind w:left="5" w:hanging="0"/>
      <w:jc w:val="both"/>
    </w:pPr>
    <w:rPr>
      <w:color w:val="262626"/>
      <w:sz w:val="20"/>
      <w:szCs w:val="20"/>
      <w14:textFill>
        <w14:solidFill>
          <w14:srgbClr w14:val="262626">
            <w14:lumMod w14:val="85000"/>
            <w14:lumOff w14:val="15000"/>
            <w14:lumMod w14:val="85000"/>
            <w14:lumOff w14:val="15000"/>
          </w14:srgbClr>
        </w14:solidFill>
      </w14:textFill>
    </w:rPr>
  </w:style>
  <w:style w:type="paragraph" w:styleId="Secaoprimaria" w:customStyle="1">
    <w:name w:val="_secao_primaria"/>
    <w:basedOn w:val="Normal"/>
    <w:qFormat/>
    <w:pPr>
      <w:spacing w:before="480" w:after="240"/>
      <w:ind w:left="2835" w:hanging="0"/>
    </w:pPr>
    <w:rPr>
      <w:b/>
      <w:color w:val="EC6608"/>
      <w14:textFill>
        <w14:solidFill>
          <w14:srgbClr w14:val="EC6608">
            <w14:lumMod w14:val="85000"/>
            <w14:lumOff w14:val="15000"/>
          </w14:srgbClr>
        </w14:solidFill>
      </w14:textFill>
    </w:rPr>
  </w:style>
  <w:style w:type="paragraph" w:styleId="Texto" w:customStyle="1">
    <w:name w:val="_texto"/>
    <w:basedOn w:val="Normal"/>
    <w:qFormat/>
    <w:pPr>
      <w:spacing w:before="0" w:after="120"/>
      <w:ind w:left="2835" w:firstLine="397"/>
      <w:jc w:val="both"/>
    </w:pPr>
    <w:rPr>
      <w:color w:val="262626"/>
      <w14:textFill>
        <w14:solidFill>
          <w14:srgbClr w14:val="262626">
            <w14:lumMod w14:val="85000"/>
            <w14:lumOff w14:val="15000"/>
            <w14:lumMod w14:val="85000"/>
            <w14:lumOff w14:val="15000"/>
          </w14:srgbClr>
        </w14:solidFill>
      </w14:textFill>
    </w:rPr>
  </w:style>
  <w:style w:type="paragraph" w:styleId="Legendabibliografica" w:customStyle="1">
    <w:name w:val="_legenda_bibliografica"/>
    <w:basedOn w:val="Normal"/>
    <w:qFormat/>
    <w:pPr>
      <w:tabs>
        <w:tab w:val="clear" w:pos="567"/>
        <w:tab w:val="center" w:pos="4252" w:leader="none"/>
        <w:tab w:val="right" w:pos="8504" w:leader="none"/>
      </w:tabs>
    </w:pPr>
    <w:rPr>
      <w:rFonts w:ascii="Arial" w:hAnsi="Arial" w:cs="Arial"/>
      <w:color w:val="575757"/>
      <w:sz w:val="14"/>
      <w:szCs w:val="14"/>
      <w14:textFill>
        <w14:solidFill>
          <w14:srgbClr w14:val="575757">
            <w14:lumMod w14:val="85000"/>
            <w14:lumOff w14:val="15000"/>
          </w14:srgbClr>
        </w14:solidFill>
      </w14:textFill>
    </w:rPr>
  </w:style>
  <w:style w:type="paragraph" w:styleId="Tituloilustracao" w:customStyle="1">
    <w:name w:val="_titulo_ilustracao"/>
    <w:basedOn w:val="Normal"/>
    <w:qFormat/>
    <w:pPr>
      <w:spacing w:before="240" w:after="40"/>
      <w:ind w:left="2835" w:hanging="0"/>
      <w:jc w:val="center"/>
    </w:pPr>
    <w:rPr>
      <w:color w:val="262626"/>
      <w:sz w:val="20"/>
      <w:szCs w:val="20"/>
      <w14:textFill>
        <w14:solidFill>
          <w14:srgbClr w14:val="262626">
            <w14:lumMod w14:val="85000"/>
            <w14:lumOff w14:val="15000"/>
          </w14:srgbClr>
        </w14:solidFill>
      </w14:textFill>
    </w:rPr>
  </w:style>
  <w:style w:type="paragraph" w:styleId="Fonteilustracao" w:customStyle="1">
    <w:name w:val="_fonte_ilustracao"/>
    <w:basedOn w:val="Normal"/>
    <w:qFormat/>
    <w:pPr>
      <w:spacing w:before="40" w:after="240"/>
      <w:ind w:left="2835" w:hanging="0"/>
      <w:jc w:val="center"/>
    </w:pPr>
    <w:rPr>
      <w:color w:val="262626"/>
      <w:sz w:val="20"/>
      <w:szCs w:val="20"/>
      <w14:textFill>
        <w14:solidFill>
          <w14:srgbClr w14:val="262626">
            <w14:lumMod w14:val="85000"/>
            <w14:lumOff w14:val="15000"/>
          </w14:srgbClr>
        </w14:solidFill>
      </w14:textFill>
    </w:rPr>
  </w:style>
  <w:style w:type="paragraph" w:styleId="Referencias" w:customStyle="1">
    <w:name w:val="_referencias"/>
    <w:basedOn w:val="Normal"/>
    <w:qFormat/>
    <w:pPr>
      <w:spacing w:before="0" w:after="480"/>
      <w:ind w:left="2835" w:hanging="0"/>
    </w:pPr>
    <w:rPr>
      <w:color w:val="262626"/>
      <w14:textFill>
        <w14:solidFill>
          <w14:srgbClr w14:val="262626">
            <w14:lumMod w14:val="85000"/>
            <w14:lumOff w14:val="15000"/>
            <w14:lumMod w14:val="85000"/>
            <w14:lumOff w14:val="15000"/>
          </w14:srgbClr>
        </w14:solidFill>
      </w14:textFill>
    </w:rPr>
  </w:style>
  <w:style w:type="paragraph" w:styleId="Creditos" w:customStyle="1">
    <w:name w:val="_creditos"/>
    <w:basedOn w:val="Normal"/>
    <w:qFormat/>
    <w:pPr>
      <w:spacing w:lineRule="auto" w:line="288"/>
    </w:pPr>
    <w:rPr>
      <w:rFonts w:ascii="Arial" w:hAnsi="Arial" w:cs="Arial"/>
      <w:color w:val="575757"/>
      <w:sz w:val="14"/>
      <w:szCs w:val="14"/>
      <w14:textFill>
        <w14:solidFill>
          <w14:srgbClr w14:val="575757">
            <w14:lumMod w14:val="85000"/>
            <w14:lumOff w14:val="15000"/>
          </w14:srgbClr>
        </w14:solidFill>
      </w14:textFill>
    </w:rPr>
  </w:style>
  <w:style w:type="paragraph" w:styleId="Tituloselementospostextuais" w:customStyle="1">
    <w:name w:val="_titulos_elementos_pos_textuais"/>
    <w:basedOn w:val="Secaoprimcentral"/>
    <w:qFormat/>
    <w:pPr>
      <w:ind w:left="2835" w:hanging="0"/>
    </w:pPr>
    <w:rPr/>
  </w:style>
  <w:style w:type="paragraph" w:styleId="Citacaolonga" w:customStyle="1">
    <w:name w:val="_citacao_longa"/>
    <w:basedOn w:val="Texto"/>
    <w:qFormat/>
    <w:pPr>
      <w:spacing w:before="240" w:after="240"/>
      <w:ind w:left="4536" w:hanging="0"/>
    </w:pPr>
    <w:rPr>
      <w:sz w:val="18"/>
    </w:rPr>
  </w:style>
  <w:style w:type="paragraph" w:styleId="Imagens" w:customStyle="1">
    <w:name w:val="_imagens"/>
    <w:basedOn w:val="Fonteilustracao"/>
    <w:qFormat/>
    <w:pPr>
      <w:spacing w:before="40" w:after="0"/>
    </w:pPr>
    <w:rPr/>
  </w:style>
  <w:style w:type="paragraph" w:styleId="Equacao" w:customStyle="1">
    <w:name w:val="_equacao"/>
    <w:basedOn w:val="Texto"/>
    <w:qFormat/>
    <w:pPr>
      <w:ind w:left="2835" w:hanging="0"/>
    </w:pPr>
    <w:rPr>
      <w:b/>
      <w:szCs w:val="20"/>
      <w14:textFill>
        <w14:solidFill>
          <w14:srgbClr w14:val="262626">
            <w14:lumMod w14:val="85000"/>
            <w14:lumOff w14:val="15000"/>
          </w14:srgbClr>
        </w14:solidFill>
      </w14:textFill>
    </w:rPr>
  </w:style>
  <w:style w:type="paragraph" w:styleId="Textotabelasilustracoes" w:customStyle="1">
    <w:name w:val="_texto_tabelas_ilustracoes"/>
    <w:qFormat/>
    <w:pPr>
      <w:widowControl/>
      <w:pBdr/>
      <w:bidi w:val="0"/>
      <w:spacing w:lineRule="auto" w:line="240" w:before="0" w:after="0"/>
      <w:jc w:val="center"/>
    </w:pPr>
    <w:rPr>
      <w:rFonts w:ascii="Calibri" w:hAnsi="Calibri" w:eastAsia="Calibri" w:cs="Calibri"/>
      <w:color w:val="262626"/>
      <w:kern w:val="0"/>
      <w:sz w:val="20"/>
      <w:szCs w:val="22"/>
      <w:lang w:val="pt-BR" w:eastAsia="en-US" w:bidi="ar-SA"/>
    </w:rPr>
  </w:style>
  <w:style w:type="paragraph" w:styleId="Textotabelasilustracoesembranco" w:customStyle="1">
    <w:name w:val="_texto_tabelas_ilustracoes_em_branco"/>
    <w:basedOn w:val="Textotabelasilustracoes"/>
    <w:qFormat/>
    <w:pPr>
      <w:spacing w:lineRule="auto" w:line="259" w:before="0" w:after="160"/>
    </w:pPr>
    <w:rPr>
      <w:b/>
      <w:color w:val="FFFFFF" w:themeColor="background1"/>
    </w:rPr>
  </w:style>
  <w:style w:type="paragraph" w:styleId="BodyText2">
    <w:name w:val="Body Text 2"/>
    <w:basedOn w:val="Normal"/>
    <w:link w:val="Corpodetexto2Char"/>
    <w:uiPriority w:val="99"/>
    <w:semiHidden/>
    <w:unhideWhenUsed/>
    <w:qFormat/>
    <w:pPr>
      <w:spacing w:lineRule="auto" w:line="480" w:before="0" w:after="120"/>
      <w:jc w:val="both"/>
    </w:pPr>
    <w:rPr>
      <w:color w:val="262626"/>
    </w:rPr>
  </w:style>
  <w:style w:type="paragraph" w:styleId="Contedodoquadro">
    <w:name w:val="Conteúdo do quadro"/>
    <w:basedOn w:val="Normal"/>
    <w:qFormat/>
    <w:pPr/>
    <w:rPr/>
  </w:style>
  <w:style w:type="paragraph" w:styleId="LOnormal">
    <w:name w:val="LO-normal"/>
    <w:qFormat/>
    <w:pPr>
      <w:widowControl/>
      <w:pBdr/>
      <w:suppressAutoHyphens w:val="true"/>
      <w:bidi w:val="0"/>
      <w:spacing w:lineRule="auto" w:line="259" w:before="0" w:after="160"/>
      <w:jc w:val="left"/>
    </w:pPr>
    <w:rPr>
      <w:rFonts w:ascii="Calibri" w:hAnsi="Calibri" w:eastAsia="Calibri" w:cs="Calibri"/>
      <w:color w:val="auto"/>
      <w:kern w:val="0"/>
      <w:sz w:val="22"/>
      <w:szCs w:val="22"/>
      <w:lang w:val="pt-BR" w:eastAsia="zh-CN" w:bidi="hi-IN"/>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customStyle="1" w:styleId="Lined">
    <w:name w:val="Lined"/>
    <w:basedOn w:val="Tabelanormal"/>
    <w:uiPriority w:val="99"/>
    <w:pPr>
      <w:spacing w:after="0" w:line="240" w:lineRule="auto"/>
    </w:pPr>
    <w:rPr>
      <w:lang w:eastAsia="pt-BR"/>
      <w:color w:val="404040"/>
      <w:sz w:val="20"/>
      <w:szCs w:val="20"/>
    </w:rPr>
    <w:tblPr>
      <w:tblStyleRowBandSize w:val="1"/>
      <w:tblStyleColBandSize w:val="1"/>
      <w:tblCellMar>
        <w:top w:w="96" w:type="dxa"/>
        <w:left w:w="170" w:type="dxa"/>
        <w:bottom w:w="96" w:type="dxa"/>
        <w:right w:w="170" w:type="dxa"/>
      </w:tblCellMar>
    </w:tblPr>
    <w:tblStylePr w:type="firstRow">
      <w:rPr>
        <w:color w:val="F2F2F2"/>
        <w:sz w:val="22"/>
      </w:rPr>
      <w:tblPr/>
      <w:tcPr>
        <w:shd w:val="clear" w:color="auto" w:fill="7F7F7F"/>
      </w:tcPr>
    </w:tblStylePr>
    <w:tblStylePr w:type="lastRow">
      <w:rPr>
        <w:color w:val="F2F2F2"/>
        <w:sz w:val="22"/>
      </w:rPr>
      <w:tblPr/>
      <w:tcPr>
        <w:shd w:val="clear" w:color="auto" w:fill="7F7F7F"/>
      </w:tcPr>
    </w:tblStylePr>
    <w:tblStylePr w:type="firstCol">
      <w:rPr>
        <w:color w:val="F2F2F2"/>
        <w:sz w:val="22"/>
      </w:rPr>
      <w:tblPr/>
      <w:tcPr>
        <w:shd w:val="clear" w:color="auto" w:fill="7F7F7F"/>
      </w:tcPr>
    </w:tblStylePr>
    <w:tblStylePr w:type="lastCol">
      <w:rPr>
        <w:color w:val="F2F2F2"/>
        <w:sz w:val="22"/>
      </w:rPr>
      <w:tblPr/>
      <w:tcPr>
        <w:shd w:val="clear" w:color="auto" w:fill="7F7F7F"/>
      </w:tcPr>
    </w:tblStylePr>
    <w:tblStylePr w:type="band1Vert">
      <w:rPr>
        <w:color w:val="404040"/>
        <w:sz w:val="22"/>
      </w:rPr>
      <w:tblPr/>
    </w:tblStylePr>
    <w:tblStylePr w:type="band2Vert">
      <w:rPr>
        <w:color w:val="404040"/>
        <w:sz w:val="22"/>
      </w:rPr>
      <w:tblPr/>
      <w:tcPr>
        <w:shd w:val="clear" w:color="auto" w:fill="F2F2F2"/>
      </w:tcPr>
    </w:tblStylePr>
    <w:tblStylePr w:type="band1Horz">
      <w:rPr>
        <w:color w:val="404040"/>
        <w:sz w:val="22"/>
      </w:rPr>
      <w:tblPr/>
    </w:tblStylePr>
    <w:tblStylePr w:type="band2Horz">
      <w:rPr>
        <w:color w:val="404040"/>
        <w:sz w:val="22"/>
      </w:rPr>
      <w:tblPr/>
      <w:tcPr>
        <w:shd w:val="clear" w:color="auto" w:fill="F2F2F2"/>
      </w:tcPr>
    </w:tblStylePr>
  </w:style>
  <w:style w:type="table" w:customStyle="1" w:styleId="Lined-Accent1">
    <w:name w:val="Lined - Accent 1"/>
    <w:basedOn w:val="Tabelanormal"/>
    <w:uiPriority w:val="99"/>
    <w:pPr>
      <w:spacing w:after="0" w:line="240" w:lineRule="auto"/>
    </w:pPr>
    <w:rPr>
      <w:lang w:eastAsia="pt-BR"/>
      <w:color w:val="404040"/>
      <w:sz w:val="20"/>
      <w:szCs w:val="20"/>
    </w:rPr>
    <w:tblPr>
      <w:tblStyleRowBandSize w:val="1"/>
      <w:tblStyleColBandSize w:val="1"/>
      <w:tblCellMar>
        <w:top w:w="96" w:type="dxa"/>
        <w:left w:w="170" w:type="dxa"/>
        <w:bottom w:w="96" w:type="dxa"/>
        <w:right w:w="170" w:type="dxa"/>
      </w:tblCellMar>
    </w:tblPr>
    <w:tblStylePr w:type="firstRow">
      <w:rPr>
        <w:color w:val="F2F2F2"/>
        <w:sz w:val="22"/>
      </w:rPr>
      <w:tblPr/>
      <w:tcPr>
        <w:shd w:val="clear" w:color="auto" w:fill="548DD4"/>
      </w:tcPr>
    </w:tblStylePr>
    <w:tblStylePr w:type="lastRow">
      <w:rPr>
        <w:color w:val="F2F2F2"/>
        <w:sz w:val="22"/>
      </w:rPr>
      <w:tblPr/>
      <w:tcPr>
        <w:shd w:val="clear" w:color="auto" w:fill="548DD4"/>
      </w:tcPr>
    </w:tblStylePr>
    <w:tblStylePr w:type="firstCol">
      <w:rPr>
        <w:color w:val="F2F2F2"/>
        <w:sz w:val="22"/>
      </w:rPr>
      <w:tblPr/>
      <w:tcPr>
        <w:shd w:val="clear" w:color="auto" w:fill="548DD4"/>
      </w:tcPr>
    </w:tblStylePr>
    <w:tblStylePr w:type="lastCol">
      <w:rPr>
        <w:color w:val="F2F2F2"/>
        <w:sz w:val="22"/>
      </w:rPr>
      <w:tblPr/>
      <w:tcPr>
        <w:shd w:val="clear" w:color="auto" w:fill="548DD4"/>
      </w:tcPr>
    </w:tblStylePr>
    <w:tblStylePr w:type="band1Vert">
      <w:rPr>
        <w:color w:val="404040"/>
        <w:sz w:val="22"/>
      </w:rPr>
      <w:tblPr/>
    </w:tblStylePr>
    <w:tblStylePr w:type="band2Vert">
      <w:rPr>
        <w:color w:val="404040"/>
        <w:sz w:val="22"/>
      </w:rPr>
      <w:tblPr/>
      <w:tcPr>
        <w:shd w:val="clear" w:color="auto" w:fill="C6D9F1"/>
      </w:tcPr>
    </w:tblStylePr>
    <w:tblStylePr w:type="band1Horz">
      <w:rPr>
        <w:color w:val="404040"/>
        <w:sz w:val="22"/>
      </w:rPr>
      <w:tblPr/>
    </w:tblStylePr>
    <w:tblStylePr w:type="band2Horz">
      <w:rPr>
        <w:color w:val="404040"/>
        <w:sz w:val="22"/>
      </w:rPr>
      <w:tblPr/>
      <w:tcPr>
        <w:shd w:val="clear" w:color="auto" w:fill="C6D9F1"/>
      </w:tcPr>
    </w:tblStylePr>
  </w:style>
  <w:style w:type="table" w:customStyle="1" w:styleId="Lined-Accent2">
    <w:name w:val="Lined - Accent 2"/>
    <w:basedOn w:val="Tabelanormal"/>
    <w:uiPriority w:val="99"/>
    <w:pPr>
      <w:spacing w:after="0" w:line="240" w:lineRule="auto"/>
    </w:pPr>
    <w:rPr>
      <w:lang w:eastAsia="pt-BR"/>
      <w:color w:val="404040"/>
      <w:sz w:val="20"/>
      <w:szCs w:val="20"/>
    </w:rPr>
    <w:tblPr>
      <w:tblStyleRowBandSize w:val="1"/>
      <w:tblStyleColBandSize w:val="1"/>
      <w:tblCellMar>
        <w:top w:w="96" w:type="dxa"/>
        <w:left w:w="170" w:type="dxa"/>
        <w:bottom w:w="96" w:type="dxa"/>
        <w:right w:w="170" w:type="dxa"/>
      </w:tblCellMar>
    </w:tblPr>
    <w:tblStylePr w:type="firstRow">
      <w:rPr>
        <w:color w:val="F2F2F2"/>
        <w:sz w:val="22"/>
      </w:rPr>
      <w:tblPr/>
      <w:tcPr>
        <w:shd w:val="clear" w:color="auto" w:fill="D99594"/>
      </w:tcPr>
    </w:tblStylePr>
    <w:tblStylePr w:type="lastRow">
      <w:rPr>
        <w:color w:val="F2F2F2"/>
        <w:sz w:val="22"/>
      </w:rPr>
      <w:tblPr/>
      <w:tcPr>
        <w:shd w:val="clear" w:color="auto" w:fill="D99594"/>
      </w:tcPr>
    </w:tblStylePr>
    <w:tblStylePr w:type="firstCol">
      <w:rPr>
        <w:color w:val="F2F2F2"/>
        <w:sz w:val="22"/>
      </w:rPr>
      <w:tblPr/>
      <w:tcPr>
        <w:shd w:val="clear" w:color="auto" w:fill="D99594"/>
      </w:tcPr>
    </w:tblStylePr>
    <w:tblStylePr w:type="lastCol">
      <w:rPr>
        <w:color w:val="F2F2F2"/>
        <w:sz w:val="22"/>
      </w:rPr>
      <w:tblPr/>
      <w:tcPr>
        <w:shd w:val="clear" w:color="auto" w:fill="D99594"/>
      </w:tcPr>
    </w:tblStylePr>
    <w:tblStylePr w:type="band1Vert">
      <w:rPr>
        <w:color w:val="404040"/>
        <w:sz w:val="22"/>
      </w:rPr>
      <w:tblPr/>
    </w:tblStylePr>
    <w:tblStylePr w:type="band2Vert">
      <w:rPr>
        <w:color w:val="404040"/>
        <w:sz w:val="22"/>
      </w:rPr>
      <w:tblPr/>
      <w:tcPr>
        <w:shd w:val="clear" w:color="auto" w:fill="F2DBDB"/>
      </w:tcPr>
    </w:tblStylePr>
    <w:tblStylePr w:type="band1Horz">
      <w:rPr>
        <w:color w:val="404040"/>
        <w:sz w:val="22"/>
      </w:rPr>
      <w:tblPr/>
    </w:tblStylePr>
    <w:tblStylePr w:type="band2Horz">
      <w:rPr>
        <w:color w:val="404040"/>
        <w:sz w:val="22"/>
      </w:rPr>
      <w:tblPr/>
      <w:tcPr>
        <w:shd w:val="clear" w:color="auto" w:fill="F2DBDB"/>
      </w:tcPr>
    </w:tblStylePr>
  </w:style>
  <w:style w:type="table" w:customStyle="1" w:styleId="Lined-Accent3">
    <w:name w:val="Lined - Accent 3"/>
    <w:basedOn w:val="Tabelanormal"/>
    <w:uiPriority w:val="99"/>
    <w:pPr>
      <w:spacing w:after="0" w:line="240" w:lineRule="auto"/>
    </w:pPr>
    <w:rPr>
      <w:lang w:eastAsia="pt-BR"/>
      <w:color w:val="404040"/>
      <w:sz w:val="20"/>
      <w:szCs w:val="20"/>
    </w:rPr>
    <w:tblPr>
      <w:tblStyleRowBandSize w:val="1"/>
      <w:tblStyleColBandSize w:val="1"/>
      <w:tblCellMar>
        <w:top w:w="96" w:type="dxa"/>
        <w:left w:w="170" w:type="dxa"/>
        <w:bottom w:w="96" w:type="dxa"/>
        <w:right w:w="170" w:type="dxa"/>
      </w:tblCellMar>
    </w:tblPr>
    <w:tblStylePr w:type="firstRow">
      <w:rPr>
        <w:color w:val="F2F2F2"/>
        <w:sz w:val="22"/>
      </w:rPr>
      <w:tblPr/>
      <w:tcPr>
        <w:shd w:val="clear" w:color="auto" w:fill="9BB559"/>
      </w:tcPr>
    </w:tblStylePr>
    <w:tblStylePr w:type="lastRow">
      <w:rPr>
        <w:color w:val="F2F2F2"/>
        <w:sz w:val="22"/>
      </w:rPr>
      <w:tblPr/>
      <w:tcPr>
        <w:shd w:val="clear" w:color="auto" w:fill="9BB559"/>
      </w:tcPr>
    </w:tblStylePr>
    <w:tblStylePr w:type="firstCol">
      <w:rPr>
        <w:color w:val="F2F2F2"/>
        <w:sz w:val="22"/>
      </w:rPr>
      <w:tblPr/>
      <w:tcPr>
        <w:shd w:val="clear" w:color="auto" w:fill="9BB559"/>
      </w:tcPr>
    </w:tblStylePr>
    <w:tblStylePr w:type="lastCol">
      <w:rPr>
        <w:color w:val="F2F2F2"/>
        <w:sz w:val="22"/>
      </w:rPr>
      <w:tblPr/>
      <w:tcPr>
        <w:shd w:val="clear" w:color="auto" w:fill="9BB559"/>
      </w:tcPr>
    </w:tblStylePr>
    <w:tblStylePr w:type="band1Vert">
      <w:rPr>
        <w:color w:val="404040"/>
        <w:sz w:val="22"/>
      </w:rPr>
      <w:tblPr/>
    </w:tblStylePr>
    <w:tblStylePr w:type="band2Vert">
      <w:rPr>
        <w:color w:val="404040"/>
        <w:sz w:val="22"/>
      </w:rPr>
      <w:tblPr/>
      <w:tcPr>
        <w:shd w:val="clear" w:color="auto" w:fill="EAF1DD"/>
      </w:tcPr>
    </w:tblStylePr>
    <w:tblStylePr w:type="band1Horz">
      <w:rPr>
        <w:color w:val="404040"/>
        <w:sz w:val="22"/>
      </w:rPr>
      <w:tblPr/>
    </w:tblStylePr>
    <w:tblStylePr w:type="band2Horz">
      <w:rPr>
        <w:color w:val="404040"/>
        <w:sz w:val="22"/>
      </w:rPr>
      <w:tblPr/>
      <w:tcPr>
        <w:shd w:val="clear" w:color="auto" w:fill="EAF1DD"/>
      </w:tcPr>
    </w:tblStylePr>
  </w:style>
  <w:style w:type="table" w:customStyle="1" w:styleId="Lined-Accent4">
    <w:name w:val="Lined - Accent 4"/>
    <w:basedOn w:val="Tabelanormal"/>
    <w:uiPriority w:val="99"/>
    <w:pPr>
      <w:spacing w:after="0" w:line="240" w:lineRule="auto"/>
    </w:pPr>
    <w:rPr>
      <w:lang w:eastAsia="pt-BR"/>
      <w:color w:val="404040"/>
      <w:sz w:val="20"/>
      <w:szCs w:val="20"/>
    </w:rPr>
    <w:tblPr>
      <w:tblStyleRowBandSize w:val="1"/>
      <w:tblStyleColBandSize w:val="1"/>
      <w:tblCellMar>
        <w:top w:w="96" w:type="dxa"/>
        <w:left w:w="170" w:type="dxa"/>
        <w:bottom w:w="96" w:type="dxa"/>
        <w:right w:w="170" w:type="dxa"/>
      </w:tblCellMar>
    </w:tblPr>
    <w:tblStylePr w:type="firstRow">
      <w:rPr>
        <w:color w:val="F2F2F2"/>
        <w:sz w:val="22"/>
      </w:rPr>
      <w:tblPr/>
      <w:tcPr>
        <w:shd w:val="clear" w:color="auto" w:fill="B2A1C7"/>
      </w:tcPr>
    </w:tblStylePr>
    <w:tblStylePr w:type="lastRow">
      <w:rPr>
        <w:color w:val="F2F2F2"/>
        <w:sz w:val="22"/>
      </w:rPr>
      <w:tblPr/>
      <w:tcPr>
        <w:shd w:val="clear" w:color="auto" w:fill="B2A1C7"/>
      </w:tcPr>
    </w:tblStylePr>
    <w:tblStylePr w:type="firstCol">
      <w:rPr>
        <w:color w:val="F2F2F2"/>
        <w:sz w:val="22"/>
      </w:rPr>
      <w:tblPr/>
      <w:tcPr>
        <w:shd w:val="clear" w:color="auto" w:fill="B2A1C7"/>
      </w:tcPr>
    </w:tblStylePr>
    <w:tblStylePr w:type="lastCol">
      <w:rPr>
        <w:color w:val="F2F2F2"/>
        <w:sz w:val="22"/>
      </w:rPr>
      <w:tblPr/>
      <w:tcPr>
        <w:shd w:val="clear" w:color="auto" w:fill="B2A1C7"/>
      </w:tcPr>
    </w:tblStylePr>
    <w:tblStylePr w:type="band1Vert">
      <w:rPr>
        <w:color w:val="404040"/>
        <w:sz w:val="22"/>
      </w:rPr>
      <w:tblPr/>
    </w:tblStylePr>
    <w:tblStylePr w:type="band2Vert">
      <w:rPr>
        <w:color w:val="404040"/>
        <w:sz w:val="22"/>
      </w:rPr>
      <w:tblPr/>
      <w:tcPr>
        <w:shd w:val="clear" w:color="auto" w:fill="E5DFEC"/>
      </w:tcPr>
    </w:tblStylePr>
    <w:tblStylePr w:type="band1Horz">
      <w:rPr>
        <w:color w:val="404040"/>
        <w:sz w:val="22"/>
      </w:rPr>
      <w:tblPr/>
    </w:tblStylePr>
    <w:tblStylePr w:type="band2Horz">
      <w:rPr>
        <w:color w:val="404040"/>
        <w:sz w:val="22"/>
      </w:rPr>
      <w:tblPr/>
      <w:tcPr>
        <w:shd w:val="clear" w:color="auto" w:fill="E5DFEC"/>
      </w:tcPr>
    </w:tblStylePr>
  </w:style>
  <w:style w:type="table" w:customStyle="1" w:styleId="Lined-Accent5">
    <w:name w:val="Lined - Accent 5"/>
    <w:basedOn w:val="Tabelanormal"/>
    <w:uiPriority w:val="99"/>
    <w:pPr>
      <w:spacing w:after="0" w:line="240" w:lineRule="auto"/>
    </w:pPr>
    <w:rPr>
      <w:lang w:eastAsia="pt-BR"/>
      <w:color w:val="404040"/>
      <w:sz w:val="20"/>
      <w:szCs w:val="20"/>
    </w:rPr>
    <w:tblPr>
      <w:tblStyleRowBandSize w:val="1"/>
      <w:tblStyleColBandSize w:val="1"/>
      <w:tblCellMar>
        <w:top w:w="96" w:type="dxa"/>
        <w:left w:w="170" w:type="dxa"/>
        <w:bottom w:w="96" w:type="dxa"/>
        <w:right w:w="170" w:type="dxa"/>
      </w:tblCellMar>
    </w:tblPr>
    <w:tblStylePr w:type="firstRow">
      <w:rPr>
        <w:color w:val="F2F2F2"/>
        <w:sz w:val="22"/>
      </w:rPr>
      <w:tblPr/>
      <w:tcPr>
        <w:shd w:val="clear" w:color="auto" w:fill="4BACC6"/>
      </w:tcPr>
    </w:tblStylePr>
    <w:tblStylePr w:type="lastRow">
      <w:rPr>
        <w:color w:val="F2F2F2"/>
        <w:sz w:val="22"/>
      </w:rPr>
      <w:tblPr/>
      <w:tcPr>
        <w:shd w:val="clear" w:color="auto" w:fill="4BACC6"/>
      </w:tcPr>
    </w:tblStylePr>
    <w:tblStylePr w:type="firstCol">
      <w:rPr>
        <w:color w:val="F2F2F2"/>
        <w:sz w:val="22"/>
      </w:rPr>
      <w:tblPr/>
      <w:tcPr>
        <w:shd w:val="clear" w:color="auto" w:fill="4BACC6"/>
      </w:tcPr>
    </w:tblStylePr>
    <w:tblStylePr w:type="lastCol">
      <w:rPr>
        <w:color w:val="F2F2F2"/>
        <w:sz w:val="22"/>
      </w:rPr>
      <w:tblPr/>
      <w:tcPr>
        <w:shd w:val="clear" w:color="auto" w:fill="4BACC6"/>
      </w:tcPr>
    </w:tblStylePr>
    <w:tblStylePr w:type="band1Vert">
      <w:rPr>
        <w:color w:val="404040"/>
        <w:sz w:val="22"/>
      </w:rPr>
      <w:tblPr/>
    </w:tblStylePr>
    <w:tblStylePr w:type="band2Vert">
      <w:rPr>
        <w:color w:val="404040"/>
        <w:sz w:val="22"/>
      </w:rPr>
      <w:tblPr/>
      <w:tcPr>
        <w:shd w:val="clear" w:color="auto" w:fill="DAEEF3"/>
      </w:tcPr>
    </w:tblStylePr>
    <w:tblStylePr w:type="band1Horz">
      <w:rPr>
        <w:color w:val="404040"/>
        <w:sz w:val="22"/>
      </w:rPr>
      <w:tblPr/>
    </w:tblStylePr>
    <w:tblStylePr w:type="band2Horz">
      <w:rPr>
        <w:color w:val="404040"/>
        <w:sz w:val="22"/>
      </w:rPr>
      <w:tblPr/>
      <w:tcPr>
        <w:shd w:val="clear" w:color="auto" w:fill="DAEEF3"/>
      </w:tcPr>
    </w:tblStylePr>
  </w:style>
  <w:style w:type="table" w:customStyle="1" w:styleId="Lined-Accent6">
    <w:name w:val="Lined - Accent 6"/>
    <w:basedOn w:val="Tabelanormal"/>
    <w:uiPriority w:val="99"/>
    <w:pPr>
      <w:spacing w:after="0" w:line="240" w:lineRule="auto"/>
    </w:pPr>
    <w:rPr>
      <w:lang w:eastAsia="pt-BR"/>
      <w:color w:val="404040"/>
      <w:sz w:val="20"/>
      <w:szCs w:val="20"/>
    </w:rPr>
    <w:tblPr>
      <w:tblStyleRowBandSize w:val="1"/>
      <w:tblStyleColBandSize w:val="1"/>
      <w:tblCellMar>
        <w:top w:w="96" w:type="dxa"/>
        <w:left w:w="170" w:type="dxa"/>
        <w:bottom w:w="96" w:type="dxa"/>
        <w:right w:w="170" w:type="dxa"/>
      </w:tblCellMar>
    </w:tblPr>
    <w:tblStylePr w:type="firstRow">
      <w:rPr>
        <w:color w:val="F2F2F2"/>
        <w:sz w:val="22"/>
      </w:rPr>
      <w:tblPr/>
      <w:tcPr>
        <w:shd w:val="clear" w:color="auto" w:fill="F79646"/>
      </w:tcPr>
    </w:tblStylePr>
    <w:tblStylePr w:type="lastRow">
      <w:rPr>
        <w:color w:val="F2F2F2"/>
        <w:sz w:val="22"/>
      </w:rPr>
      <w:tblPr/>
      <w:tcPr>
        <w:shd w:val="clear" w:color="auto" w:fill="F79646"/>
      </w:tcPr>
    </w:tblStylePr>
    <w:tblStylePr w:type="firstCol">
      <w:rPr>
        <w:color w:val="F2F2F2"/>
        <w:sz w:val="22"/>
      </w:rPr>
      <w:tblPr/>
      <w:tcPr>
        <w:shd w:val="clear" w:color="auto" w:fill="F79646"/>
      </w:tcPr>
    </w:tblStylePr>
    <w:tblStylePr w:type="lastCol">
      <w:rPr>
        <w:color w:val="F2F2F2"/>
        <w:sz w:val="22"/>
      </w:rPr>
      <w:tblPr/>
      <w:tcPr>
        <w:shd w:val="clear" w:color="auto" w:fill="F79646"/>
      </w:tcPr>
    </w:tblStylePr>
    <w:tblStylePr w:type="band1Vert">
      <w:rPr>
        <w:color w:val="404040"/>
        <w:sz w:val="22"/>
      </w:rPr>
      <w:tblPr/>
    </w:tblStylePr>
    <w:tblStylePr w:type="band2Vert">
      <w:rPr>
        <w:color w:val="404040"/>
        <w:sz w:val="22"/>
      </w:rPr>
      <w:tblPr/>
      <w:tcPr>
        <w:shd w:val="clear" w:color="auto" w:fill="FDE9D9"/>
      </w:tcPr>
    </w:tblStylePr>
    <w:tblStylePr w:type="band1Horz">
      <w:rPr>
        <w:color w:val="404040"/>
        <w:sz w:val="22"/>
      </w:rPr>
      <w:tblPr/>
    </w:tblStylePr>
    <w:tblStylePr w:type="band2Horz">
      <w:rPr>
        <w:color w:val="404040"/>
        <w:sz w:val="22"/>
      </w:rPr>
      <w:tblPr/>
      <w:tcPr>
        <w:shd w:val="clear" w:color="auto" w:fill="FDE9D9"/>
      </w:tcPr>
    </w:tblStylePr>
  </w:style>
  <w:style w:type="table" w:customStyle="1" w:styleId="Bordered">
    <w:name w:val="Bordered"/>
    <w:basedOn w:val="Tabelanormal"/>
    <w:uiPriority w:val="99"/>
    <w:pPr>
      <w:spacing w:after="0" w:line="240" w:lineRule="auto"/>
    </w:pPr>
    <w:tblPr>
      <w:tblStyleRowBandSize w:val="1"/>
      <w:tblStyleColBandSize w:val="1"/>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96" w:type="dxa"/>
        <w:left w:w="170" w:type="dxa"/>
        <w:bottom w:w="96" w:type="dxa"/>
        <w:right w:w="170" w:type="dxa"/>
      </w:tblCellMar>
    </w:tblPr>
    <w:tblStylePr w:type="firstRow">
      <w:rPr>
        <w:color w:val="404040"/>
        <w:sz w:val="22"/>
      </w:rPr>
      <w:tblPr/>
      <w:tcPr>
        <w:tcBorders>
          <w:bottom w:val="single" w:color="7F7F7F" w:sz="12" w:space="0"/>
        </w:tcBorders>
      </w:tcPr>
    </w:tblStylePr>
    <w:tblStylePr w:type="lastRow">
      <w:rPr>
        <w:color w:val="404040"/>
        <w:sz w:val="22"/>
      </w:rPr>
      <w:tblPr/>
      <w:tcPr>
        <w:tcBorders>
          <w:top w:val="single" w:color="7F7F7F" w:sz="12" w:space="0"/>
        </w:tcBorders>
      </w:tcPr>
    </w:tblStylePr>
    <w:tblStylePr w:type="firstCol">
      <w:rPr>
        <w:color w:val="404040"/>
        <w:sz w:val="22"/>
      </w:rPr>
      <w:tblPr/>
      <w:tcPr>
        <w:tcBorders>
          <w:right w:val="single" w:color="7F7F7F" w:sz="12" w:space="0"/>
        </w:tcBorders>
      </w:tcPr>
    </w:tblStylePr>
    <w:tblStylePr w:type="lastCol">
      <w:rPr>
        <w:color w:val="404040"/>
        <w:sz w:val="22"/>
      </w:rPr>
      <w:tblPr/>
      <w:tcPr>
        <w:tcBorders>
          <w:left w:val="single" w:color="7F7F7F" w:sz="12" w:space="0"/>
        </w:tcBorders>
      </w:tcPr>
    </w:tblStylePr>
    <w:tblStylePr w:type="band1Horz">
      <w:rPr>
        <w:color w:val="404040"/>
        <w:sz w:val="22"/>
      </w:rPr>
      <w:tblPr/>
      <w:tcPr>
        <w:tcBorders>
          <w:top w:val="single" w:color="D9D9D9" w:sz="4" w:space="0"/>
          <w:left w:val="single" w:color="D9D9D9" w:sz="4" w:space="0"/>
          <w:bottom w:val="single" w:color="D9D9D9" w:sz="4" w:space="0"/>
          <w:right w:val="single" w:color="D9D9D9" w:sz="4" w:space="0"/>
        </w:tcBorders>
      </w:tcPr>
    </w:tblStylePr>
  </w:style>
  <w:style w:type="table" w:customStyle="1" w:styleId="Bordered-Accent1">
    <w:name w:val="Bordered - Accent 1"/>
    <w:basedOn w:val="Tabelanormal"/>
    <w:uiPriority w:val="99"/>
    <w:pPr>
      <w:spacing w:after="0" w:line="240" w:lineRule="auto"/>
    </w:pPr>
    <w:tblPr>
      <w:tblStyleRowBandSize w:val="1"/>
      <w:tblStyleColBandSize w:val="1"/>
      <w:tblBorders>
        <w:top w:val="single" w:color="B8CCE4" w:sz="4" w:space="0"/>
        <w:left w:val="single" w:color="B8CCE4" w:sz="4" w:space="0"/>
        <w:bottom w:val="single" w:color="B8CCE4" w:sz="4" w:space="0"/>
        <w:right w:val="single" w:color="B8CCE4" w:sz="4" w:space="0"/>
        <w:insideH w:val="single" w:color="B8CCE4" w:sz="4" w:space="0"/>
        <w:insideV w:val="single" w:color="B8CCE4" w:sz="4" w:space="0"/>
      </w:tblBorders>
      <w:tblCellMar>
        <w:top w:w="96" w:type="dxa"/>
        <w:left w:w="170" w:type="dxa"/>
        <w:bottom w:w="96" w:type="dxa"/>
        <w:right w:w="170" w:type="dxa"/>
      </w:tblCellMar>
    </w:tblPr>
    <w:tblStylePr w:type="firstRow">
      <w:rPr>
        <w:color w:val="404040"/>
        <w:sz w:val="22"/>
      </w:rPr>
      <w:tblPr/>
      <w:tcPr>
        <w:tcBorders>
          <w:bottom w:val="single" w:color="4F81BD" w:sz="12" w:space="0"/>
        </w:tcBorders>
      </w:tcPr>
    </w:tblStylePr>
    <w:tblStylePr w:type="lastRow">
      <w:rPr>
        <w:color w:val="404040"/>
        <w:sz w:val="22"/>
      </w:rPr>
      <w:tblPr/>
      <w:tcPr>
        <w:tcBorders>
          <w:top w:val="single" w:color="4F81BD" w:sz="12" w:space="0"/>
        </w:tcBorders>
      </w:tcPr>
    </w:tblStylePr>
    <w:tblStylePr w:type="firstCol">
      <w:rPr>
        <w:color w:val="404040"/>
        <w:sz w:val="22"/>
      </w:rPr>
      <w:tblPr/>
      <w:tcPr>
        <w:tcBorders>
          <w:right w:val="single" w:color="4F81BD" w:sz="12" w:space="0"/>
        </w:tcBorders>
      </w:tcPr>
    </w:tblStylePr>
    <w:tblStylePr w:type="lastCol">
      <w:rPr>
        <w:color w:val="404040"/>
        <w:sz w:val="22"/>
      </w:rPr>
      <w:tblPr/>
      <w:tcPr>
        <w:tcBorders>
          <w:left w:val="single" w:color="4F81BD" w:sz="12" w:space="0"/>
        </w:tcBorders>
      </w:tcPr>
    </w:tblStylePr>
    <w:tblStylePr w:type="band1Horz">
      <w:rPr>
        <w:color w:val="404040"/>
        <w:sz w:val="22"/>
      </w:rPr>
      <w:tblPr/>
      <w:tcPr>
        <w:tcBorders>
          <w:top w:val="single" w:color="B8CCE4" w:sz="4" w:space="0"/>
          <w:left w:val="single" w:color="B8CCE4" w:sz="4" w:space="0"/>
          <w:bottom w:val="single" w:color="B8CCE4" w:sz="4" w:space="0"/>
          <w:right w:val="single" w:color="B8CCE4" w:sz="4" w:space="0"/>
        </w:tcBorders>
      </w:tcPr>
    </w:tblStylePr>
  </w:style>
  <w:style w:type="table" w:customStyle="1" w:styleId="Bordered-Accent2">
    <w:name w:val="Bordered - Accent 2"/>
    <w:basedOn w:val="Tabelanormal"/>
    <w:uiPriority w:val="99"/>
    <w:pPr>
      <w:spacing w:after="0" w:line="240" w:lineRule="auto"/>
    </w:pPr>
    <w:tblPr>
      <w:tblStyleRowBandSize w:val="1"/>
      <w:tblStyleColBandSize w:val="1"/>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96" w:type="dxa"/>
        <w:left w:w="170" w:type="dxa"/>
        <w:bottom w:w="96" w:type="dxa"/>
        <w:right w:w="170" w:type="dxa"/>
      </w:tblCellMar>
    </w:tblPr>
    <w:tblStylePr w:type="firstRow">
      <w:rPr>
        <w:color w:val="404040"/>
        <w:sz w:val="22"/>
      </w:rPr>
      <w:tblPr/>
      <w:tcPr>
        <w:tcBorders>
          <w:bottom w:val="single" w:color="D99594" w:sz="12" w:space="0"/>
        </w:tcBorders>
      </w:tcPr>
    </w:tblStylePr>
    <w:tblStylePr w:type="lastRow">
      <w:rPr>
        <w:color w:val="404040"/>
        <w:sz w:val="22"/>
      </w:rPr>
      <w:tblPr/>
      <w:tcPr>
        <w:tcBorders>
          <w:top w:val="single" w:color="D99594" w:sz="12" w:space="0"/>
        </w:tcBorders>
      </w:tcPr>
    </w:tblStylePr>
    <w:tblStylePr w:type="firstCol">
      <w:rPr>
        <w:color w:val="404040"/>
        <w:sz w:val="22"/>
      </w:rPr>
      <w:tblPr/>
      <w:tcPr>
        <w:tcBorders>
          <w:right w:val="single" w:color="D99594" w:sz="12" w:space="0"/>
        </w:tcBorders>
      </w:tcPr>
    </w:tblStylePr>
    <w:tblStylePr w:type="lastCol">
      <w:rPr>
        <w:color w:val="404040"/>
        <w:sz w:val="22"/>
      </w:rPr>
      <w:tblPr/>
      <w:tcPr>
        <w:tcBorders>
          <w:left w:val="single" w:color="D99594" w:sz="12" w:space="0"/>
        </w:tcBorders>
      </w:tcPr>
    </w:tblStylePr>
    <w:tblStylePr w:type="band1Horz">
      <w:rPr>
        <w:color w:val="404040"/>
        <w:sz w:val="22"/>
      </w:rPr>
      <w:tblPr/>
      <w:tcPr>
        <w:tcBorders>
          <w:top w:val="single" w:color="E5B8B7" w:sz="4" w:space="0"/>
          <w:left w:val="single" w:color="E5B8B7" w:sz="4" w:space="0"/>
          <w:bottom w:val="single" w:color="E5B8B7" w:sz="4" w:space="0"/>
          <w:right w:val="single" w:color="E5B8B7" w:sz="4" w:space="0"/>
        </w:tcBorders>
      </w:tcPr>
    </w:tblStylePr>
  </w:style>
  <w:style w:type="table" w:customStyle="1" w:styleId="Bordered-Accent3">
    <w:name w:val="Bordered - Accent 3"/>
    <w:basedOn w:val="Tabelanormal"/>
    <w:uiPriority w:val="99"/>
    <w:pPr>
      <w:spacing w:after="0" w:line="240" w:lineRule="auto"/>
    </w:pPr>
    <w:tblPr>
      <w:tblStyleRowBandSize w:val="1"/>
      <w:tblStyleColBandSize w:val="1"/>
      <w:tblBorders>
        <w:top w:val="single" w:color="D6E3BC" w:sz="4" w:space="0"/>
        <w:left w:val="single" w:color="D6E3BC" w:sz="4" w:space="0"/>
        <w:bottom w:val="single" w:color="D6E3BC" w:sz="4" w:space="0"/>
        <w:right w:val="single" w:color="D6E3BC" w:sz="4" w:space="0"/>
        <w:insideH w:val="single" w:color="D6E3BC" w:sz="4" w:space="0"/>
        <w:insideV w:val="single" w:color="D6E3BC" w:sz="4" w:space="0"/>
      </w:tblBorders>
      <w:tblCellMar>
        <w:top w:w="96" w:type="dxa"/>
        <w:left w:w="170" w:type="dxa"/>
        <w:bottom w:w="96" w:type="dxa"/>
        <w:right w:w="170" w:type="dxa"/>
      </w:tblCellMar>
    </w:tblPr>
    <w:tblStylePr w:type="firstRow">
      <w:rPr>
        <w:color w:val="404040"/>
        <w:sz w:val="22"/>
      </w:rPr>
      <w:tblPr/>
      <w:tcPr>
        <w:tcBorders>
          <w:bottom w:val="single" w:color="C2D69B" w:sz="12" w:space="0"/>
        </w:tcBorders>
      </w:tcPr>
    </w:tblStylePr>
    <w:tblStylePr w:type="lastRow">
      <w:rPr>
        <w:color w:val="404040"/>
        <w:sz w:val="22"/>
      </w:rPr>
      <w:tblPr/>
      <w:tcPr>
        <w:tcBorders>
          <w:top w:val="single" w:color="C2D69B" w:sz="12" w:space="0"/>
        </w:tcBorders>
      </w:tcPr>
    </w:tblStylePr>
    <w:tblStylePr w:type="firstCol">
      <w:rPr>
        <w:color w:val="404040"/>
        <w:sz w:val="22"/>
      </w:rPr>
      <w:tblPr/>
      <w:tcPr>
        <w:tcBorders>
          <w:right w:val="single" w:color="C2D69B" w:sz="12" w:space="0"/>
        </w:tcBorders>
      </w:tcPr>
    </w:tblStylePr>
    <w:tblStylePr w:type="lastCol">
      <w:rPr>
        <w:color w:val="404040"/>
        <w:sz w:val="22"/>
      </w:rPr>
      <w:tblPr/>
      <w:tcPr>
        <w:tcBorders>
          <w:left w:val="single" w:color="C2D69B" w:sz="12" w:space="0"/>
        </w:tcBorders>
      </w:tcPr>
    </w:tblStylePr>
    <w:tblStylePr w:type="band1Horz">
      <w:rPr>
        <w:color w:val="404040"/>
        <w:sz w:val="22"/>
      </w:rPr>
      <w:tblPr/>
      <w:tcPr>
        <w:tcBorders>
          <w:top w:val="single" w:color="D6E3BC" w:sz="4" w:space="0"/>
          <w:left w:val="single" w:color="D6E3BC" w:sz="4" w:space="0"/>
          <w:bottom w:val="single" w:color="D6E3BC" w:sz="4" w:space="0"/>
          <w:right w:val="single" w:color="D6E3BC" w:sz="4" w:space="0"/>
        </w:tcBorders>
      </w:tcPr>
    </w:tblStylePr>
  </w:style>
  <w:style w:type="table" w:customStyle="1" w:styleId="Bordered-Accent4">
    <w:name w:val="Bordered - Accent 4"/>
    <w:basedOn w:val="Tabelanormal"/>
    <w:uiPriority w:val="99"/>
    <w:pPr>
      <w:spacing w:after="0" w:line="240" w:lineRule="auto"/>
    </w:pPr>
    <w:tblPr>
      <w:tblStyleRowBandSize w:val="1"/>
      <w:tblStyleColBandSize w:val="1"/>
      <w:tblBorders>
        <w:top w:val="single" w:color="CCC0D9" w:sz="4" w:space="0"/>
        <w:left w:val="single" w:color="CCC0D9" w:sz="4" w:space="0"/>
        <w:bottom w:val="single" w:color="CCC0D9" w:sz="4" w:space="0"/>
        <w:right w:val="single" w:color="CCC0D9" w:sz="4" w:space="0"/>
        <w:insideH w:val="single" w:color="CCC0D9" w:sz="4" w:space="0"/>
        <w:insideV w:val="single" w:color="CCC0D9" w:sz="4" w:space="0"/>
      </w:tblBorders>
      <w:tblCellMar>
        <w:top w:w="96" w:type="dxa"/>
        <w:left w:w="170" w:type="dxa"/>
        <w:bottom w:w="96" w:type="dxa"/>
        <w:right w:w="170" w:type="dxa"/>
      </w:tblCellMar>
    </w:tblPr>
    <w:tblStylePr w:type="firstRow">
      <w:rPr>
        <w:color w:val="404040"/>
        <w:sz w:val="22"/>
      </w:rPr>
      <w:tblPr/>
      <w:tcPr>
        <w:tcBorders>
          <w:bottom w:val="single" w:color="B2A1C7" w:sz="12" w:space="0"/>
        </w:tcBorders>
      </w:tcPr>
    </w:tblStylePr>
    <w:tblStylePr w:type="lastRow">
      <w:rPr>
        <w:color w:val="404040"/>
        <w:sz w:val="22"/>
      </w:rPr>
      <w:tblPr/>
      <w:tcPr>
        <w:tcBorders>
          <w:top w:val="single" w:color="B2A1C7" w:sz="12" w:space="0"/>
        </w:tcBorders>
      </w:tcPr>
    </w:tblStylePr>
    <w:tblStylePr w:type="firstCol">
      <w:rPr>
        <w:color w:val="404040"/>
        <w:sz w:val="22"/>
      </w:rPr>
      <w:tblPr/>
      <w:tcPr>
        <w:tcBorders>
          <w:right w:val="single" w:color="B2A1C7" w:sz="12" w:space="0"/>
        </w:tcBorders>
      </w:tcPr>
    </w:tblStylePr>
    <w:tblStylePr w:type="lastCol">
      <w:rPr>
        <w:color w:val="404040"/>
        <w:sz w:val="22"/>
      </w:rPr>
      <w:tblPr/>
      <w:tcPr>
        <w:tcBorders>
          <w:left w:val="single" w:color="B2A1C7" w:sz="12" w:space="0"/>
        </w:tcBorders>
      </w:tcPr>
    </w:tblStylePr>
    <w:tblStylePr w:type="band1Horz">
      <w:rPr>
        <w:color w:val="404040"/>
        <w:sz w:val="22"/>
      </w:rPr>
      <w:tblPr/>
      <w:tcPr>
        <w:tcBorders>
          <w:top w:val="single" w:color="CCC0D9" w:sz="4" w:space="0"/>
          <w:left w:val="single" w:color="CCC0D9" w:sz="4" w:space="0"/>
          <w:bottom w:val="single" w:color="CCC0D9" w:sz="4" w:space="0"/>
          <w:right w:val="single" w:color="CCC0D9" w:sz="4" w:space="0"/>
        </w:tcBorders>
      </w:tcPr>
    </w:tblStylePr>
  </w:style>
  <w:style w:type="table" w:customStyle="1" w:styleId="Bordered-Accent5">
    <w:name w:val="Bordered - Accent 5"/>
    <w:basedOn w:val="Tabelanormal"/>
    <w:uiPriority w:val="99"/>
    <w:pPr>
      <w:spacing w:after="0" w:line="240" w:lineRule="auto"/>
    </w:p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96" w:type="dxa"/>
        <w:left w:w="170" w:type="dxa"/>
        <w:bottom w:w="96" w:type="dxa"/>
        <w:right w:w="170" w:type="dxa"/>
      </w:tblCellMar>
    </w:tblPr>
    <w:tblStylePr w:type="firstRow">
      <w:rPr>
        <w:color w:val="404040"/>
        <w:sz w:val="22"/>
      </w:rPr>
      <w:tblPr/>
      <w:tcPr>
        <w:tcBorders>
          <w:bottom w:val="single" w:color="92CDDC" w:sz="12" w:space="0"/>
        </w:tcBorders>
      </w:tcPr>
    </w:tblStylePr>
    <w:tblStylePr w:type="lastRow">
      <w:rPr>
        <w:color w:val="404040"/>
        <w:sz w:val="22"/>
      </w:rPr>
      <w:tblPr/>
      <w:tcPr>
        <w:tcBorders>
          <w:top w:val="single" w:color="92CDDC" w:sz="12" w:space="0"/>
        </w:tcBorders>
      </w:tcPr>
    </w:tblStylePr>
    <w:tblStylePr w:type="firstCol">
      <w:rPr>
        <w:color w:val="404040"/>
        <w:sz w:val="22"/>
      </w:rPr>
      <w:tblPr/>
      <w:tcPr>
        <w:tcBorders>
          <w:right w:val="single" w:color="92CDDC" w:sz="12" w:space="0"/>
        </w:tcBorders>
      </w:tcPr>
    </w:tblStylePr>
    <w:tblStylePr w:type="lastCol">
      <w:rPr>
        <w:color w:val="404040"/>
        <w:sz w:val="22"/>
      </w:rPr>
      <w:tblPr/>
      <w:tcPr>
        <w:tcBorders>
          <w:left w:val="single" w:color="92CDDC" w:sz="12" w:space="0"/>
        </w:tcBorders>
      </w:tcPr>
    </w:tblStylePr>
    <w:tblStylePr w:type="band1Horz">
      <w:rPr>
        <w:color w:val="404040"/>
        <w:sz w:val="22"/>
      </w:rPr>
      <w:tblPr/>
      <w:tcPr>
        <w:tcBorders>
          <w:top w:val="single" w:color="B6DDE8" w:sz="4" w:space="0"/>
          <w:left w:val="single" w:color="B6DDE8" w:sz="4" w:space="0"/>
          <w:bottom w:val="single" w:color="B6DDE8" w:sz="4" w:space="0"/>
          <w:right w:val="single" w:color="B6DDE8" w:sz="4" w:space="0"/>
        </w:tcBorders>
      </w:tcPr>
    </w:tblStylePr>
  </w:style>
  <w:style w:type="table" w:customStyle="1" w:styleId="Bordered-Accent6">
    <w:name w:val="Bordered - Accent 6"/>
    <w:basedOn w:val="Tabelanormal"/>
    <w:uiPriority w:val="99"/>
    <w:pPr>
      <w:spacing w:after="0" w:line="240" w:lineRule="auto"/>
    </w:p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96" w:type="dxa"/>
        <w:left w:w="170" w:type="dxa"/>
        <w:bottom w:w="96" w:type="dxa"/>
        <w:right w:w="170" w:type="dxa"/>
      </w:tblCellMar>
    </w:tblPr>
    <w:tblStylePr w:type="firstRow">
      <w:rPr>
        <w:color w:val="404040"/>
        <w:sz w:val="22"/>
      </w:rPr>
      <w:tblPr/>
      <w:tcPr>
        <w:tcBorders>
          <w:bottom w:val="single" w:color="FABF8F" w:sz="12" w:space="0"/>
        </w:tcBorders>
      </w:tcPr>
    </w:tblStylePr>
    <w:tblStylePr w:type="lastRow">
      <w:rPr>
        <w:color w:val="404040"/>
        <w:sz w:val="22"/>
      </w:rPr>
      <w:tblPr/>
      <w:tcPr>
        <w:tcBorders>
          <w:top w:val="single" w:color="FABF8F" w:sz="12" w:space="0"/>
        </w:tcBorders>
      </w:tcPr>
    </w:tblStylePr>
    <w:tblStylePr w:type="firstCol">
      <w:rPr>
        <w:color w:val="404040"/>
        <w:sz w:val="22"/>
      </w:rPr>
      <w:tblPr/>
      <w:tcPr>
        <w:tcBorders>
          <w:right w:val="single" w:color="FABF8F" w:sz="12" w:space="0"/>
        </w:tcBorders>
      </w:tcPr>
    </w:tblStylePr>
    <w:tblStylePr w:type="lastCol">
      <w:rPr>
        <w:color w:val="404040"/>
        <w:sz w:val="22"/>
      </w:rPr>
      <w:tblPr/>
      <w:tcPr>
        <w:tcBorders>
          <w:left w:val="single" w:color="FABF8F" w:sz="12" w:space="0"/>
        </w:tcBorders>
      </w:tcPr>
    </w:tblStylePr>
    <w:tblStylePr w:type="band1Horz">
      <w:rPr>
        <w:color w:val="404040"/>
        <w:sz w:val="22"/>
      </w:rPr>
      <w:tblPr/>
      <w:tcPr>
        <w:tcBorders>
          <w:top w:val="single" w:color="FBD4B4" w:sz="4" w:space="0"/>
          <w:left w:val="single" w:color="FBD4B4" w:sz="4" w:space="0"/>
          <w:bottom w:val="single" w:color="FBD4B4" w:sz="4" w:space="0"/>
          <w:right w:val="single" w:color="FBD4B4" w:sz="4" w:space="0"/>
        </w:tcBorders>
      </w:tcPr>
    </w:tblStylePr>
  </w:style>
  <w:style w:type="table" w:customStyle="1" w:styleId="BorderedLined">
    <w:name w:val="Bordered &amp; Lined"/>
    <w:basedOn w:val="Tabelanormal"/>
    <w:uiPriority w:val="99"/>
    <w:pPr>
      <w:spacing w:after="0" w:line="240" w:lineRule="auto"/>
    </w:pPr>
    <w:rPr>
      <w:lang w:eastAsia="pt-BR"/>
      <w:color w:val="404040"/>
      <w:sz w:val="20"/>
      <w:szCs w:val="20"/>
    </w:rPr>
    <w:tblPr>
      <w:tblStyleRowBandSize w:val="1"/>
      <w:tblStyleColBandSize w:val="1"/>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96" w:type="dxa"/>
        <w:left w:w="170" w:type="dxa"/>
        <w:bottom w:w="96" w:type="dxa"/>
        <w:right w:w="170" w:type="dxa"/>
      </w:tblCellMar>
    </w:tblPr>
    <w:tblStylePr w:type="firstRow">
      <w:rPr>
        <w:color w:val="F2F2F2"/>
        <w:sz w:val="22"/>
      </w:rPr>
      <w:tblPr/>
      <w:tcPr>
        <w:shd w:val="clear" w:color="auto" w:fill="7F7F7F"/>
      </w:tcPr>
    </w:tblStylePr>
    <w:tblStylePr w:type="lastRow">
      <w:rPr>
        <w:color w:val="F2F2F2"/>
        <w:sz w:val="22"/>
      </w:rPr>
      <w:tblPr/>
      <w:tcPr>
        <w:shd w:val="clear" w:color="auto" w:fill="7F7F7F"/>
      </w:tcPr>
    </w:tblStylePr>
    <w:tblStylePr w:type="firstCol">
      <w:rPr>
        <w:color w:val="F2F2F2"/>
        <w:sz w:val="22"/>
      </w:rPr>
      <w:tblPr/>
      <w:tcPr>
        <w:shd w:val="clear" w:color="auto" w:fill="7F7F7F"/>
      </w:tcPr>
    </w:tblStylePr>
    <w:tblStylePr w:type="lastCol">
      <w:rPr>
        <w:color w:val="F2F2F2"/>
        <w:sz w:val="22"/>
      </w:rPr>
      <w:tblPr/>
      <w:tcPr>
        <w:shd w:val="clear" w:color="auto" w:fill="7F7F7F"/>
      </w:tcPr>
    </w:tblStylePr>
    <w:tblStylePr w:type="band1Vert">
      <w:rPr>
        <w:color w:val="404040"/>
        <w:sz w:val="22"/>
      </w:rPr>
      <w:tblPr/>
    </w:tblStylePr>
    <w:tblStylePr w:type="band2Vert">
      <w:rPr>
        <w:color w:val="404040"/>
        <w:sz w:val="22"/>
      </w:rPr>
      <w:tblPr/>
      <w:tcPr>
        <w:shd w:val="clear" w:color="auto" w:fill="D9D9D9"/>
      </w:tcPr>
    </w:tblStylePr>
    <w:tblStylePr w:type="band1Horz">
      <w:rPr>
        <w:color w:val="404040"/>
        <w:sz w:val="22"/>
      </w:rPr>
      <w:tblPr/>
    </w:tblStylePr>
    <w:tblStylePr w:type="band2Horz">
      <w:rPr>
        <w:color w:val="404040"/>
        <w:sz w:val="22"/>
      </w:rPr>
      <w:tblPr/>
      <w:tcPr>
        <w:shd w:val="clear" w:color="auto" w:fill="F2F2F2"/>
      </w:tcPr>
    </w:tblStylePr>
  </w:style>
  <w:style w:type="table" w:customStyle="1" w:styleId="BorderedLined-Accent1">
    <w:name w:val="Bordered &amp; Lined - Accent 1"/>
    <w:basedOn w:val="Tabelanormal"/>
    <w:uiPriority w:val="99"/>
    <w:pPr>
      <w:spacing w:after="0" w:line="240" w:lineRule="auto"/>
    </w:pPr>
    <w:rPr>
      <w:lang w:eastAsia="pt-BR"/>
      <w:color w:val="404040"/>
      <w:sz w:val="20"/>
      <w:szCs w:val="20"/>
    </w:rPr>
    <w:tblPr>
      <w:tblStyleRowBandSize w:val="1"/>
      <w:tblStyleColBandSize w:val="1"/>
      <w:tblBorders>
        <w:top w:val="single" w:color="1F497D" w:sz="4" w:space="0"/>
        <w:left w:val="single" w:color="1F497D" w:sz="4" w:space="0"/>
        <w:bottom w:val="single" w:color="1F497D" w:sz="4" w:space="0"/>
        <w:right w:val="single" w:color="1F497D" w:sz="4" w:space="0"/>
        <w:insideH w:val="single" w:color="1F497D" w:sz="4" w:space="0"/>
        <w:insideV w:val="single" w:color="1F497D" w:sz="4" w:space="0"/>
      </w:tblBorders>
      <w:tblCellMar>
        <w:top w:w="96" w:type="dxa"/>
        <w:left w:w="170" w:type="dxa"/>
        <w:bottom w:w="96" w:type="dxa"/>
        <w:right w:w="170" w:type="dxa"/>
      </w:tblCellMar>
    </w:tblPr>
    <w:tblStylePr w:type="firstRow">
      <w:rPr>
        <w:color w:val="F2F2F2"/>
        <w:sz w:val="22"/>
      </w:rPr>
      <w:tblPr/>
      <w:tcPr>
        <w:shd w:val="clear" w:color="auto" w:fill="548DD4"/>
      </w:tcPr>
    </w:tblStylePr>
    <w:tblStylePr w:type="lastRow">
      <w:rPr>
        <w:color w:val="F2F2F2"/>
        <w:sz w:val="22"/>
      </w:rPr>
      <w:tblPr/>
      <w:tcPr>
        <w:shd w:val="clear" w:color="auto" w:fill="548DD4"/>
      </w:tcPr>
    </w:tblStylePr>
    <w:tblStylePr w:type="firstCol">
      <w:rPr>
        <w:color w:val="F2F2F2"/>
        <w:sz w:val="22"/>
      </w:rPr>
      <w:tblPr/>
      <w:tcPr>
        <w:shd w:val="clear" w:color="auto" w:fill="548DD4"/>
      </w:tcPr>
    </w:tblStylePr>
    <w:tblStylePr w:type="lastCol">
      <w:rPr>
        <w:color w:val="F2F2F2"/>
        <w:sz w:val="22"/>
      </w:rPr>
      <w:tblPr/>
      <w:tcPr>
        <w:shd w:val="clear" w:color="auto" w:fill="548DD4"/>
      </w:tcPr>
    </w:tblStylePr>
    <w:tblStylePr w:type="band1Vert">
      <w:rPr>
        <w:color w:val="404040"/>
        <w:sz w:val="22"/>
      </w:rPr>
      <w:tblPr/>
    </w:tblStylePr>
    <w:tblStylePr w:type="band2Vert">
      <w:rPr>
        <w:color w:val="404040"/>
        <w:sz w:val="22"/>
      </w:rPr>
      <w:tblPr/>
      <w:tcPr>
        <w:shd w:val="clear" w:color="auto" w:fill="C6D9F1"/>
      </w:tcPr>
    </w:tblStylePr>
    <w:tblStylePr w:type="band1Horz">
      <w:rPr>
        <w:color w:val="404040"/>
        <w:sz w:val="22"/>
      </w:rPr>
      <w:tblPr/>
    </w:tblStylePr>
    <w:tblStylePr w:type="band2Horz">
      <w:rPr>
        <w:color w:val="404040"/>
        <w:sz w:val="22"/>
      </w:rPr>
      <w:tblPr/>
      <w:tcPr>
        <w:shd w:val="clear" w:color="auto" w:fill="C6D9F1"/>
      </w:tcPr>
    </w:tblStylePr>
  </w:style>
  <w:style w:type="table" w:customStyle="1" w:styleId="BorderedLined-Accent2">
    <w:name w:val="Bordered &amp; Lined - Accent 2"/>
    <w:basedOn w:val="Tabelanormal"/>
    <w:uiPriority w:val="99"/>
    <w:pPr>
      <w:spacing w:after="0" w:line="240" w:lineRule="auto"/>
    </w:pPr>
    <w:rPr>
      <w:lang w:eastAsia="pt-BR"/>
      <w:color w:val="404040"/>
      <w:sz w:val="20"/>
      <w:szCs w:val="20"/>
    </w:rPr>
    <w:tblPr>
      <w:tblStyleRowBandSize w:val="1"/>
      <w:tblStyleColBandSize w:val="1"/>
      <w:tblBorders>
        <w:top w:val="single" w:color="C0504D" w:sz="4" w:space="0"/>
        <w:left w:val="single" w:color="C0504D" w:sz="4" w:space="0"/>
        <w:bottom w:val="single" w:color="C0504D" w:sz="4" w:space="0"/>
        <w:right w:val="single" w:color="C0504D" w:sz="4" w:space="0"/>
        <w:insideH w:val="single" w:color="C0504D" w:sz="4" w:space="0"/>
        <w:insideV w:val="single" w:color="C0504D" w:sz="4" w:space="0"/>
      </w:tblBorders>
      <w:tblCellMar>
        <w:top w:w="96" w:type="dxa"/>
        <w:left w:w="170" w:type="dxa"/>
        <w:bottom w:w="96" w:type="dxa"/>
        <w:right w:w="170" w:type="dxa"/>
      </w:tblCellMar>
    </w:tblPr>
    <w:tblStylePr w:type="firstRow">
      <w:rPr>
        <w:color w:val="F2F2F2"/>
        <w:sz w:val="22"/>
      </w:rPr>
      <w:tblPr/>
      <w:tcPr>
        <w:shd w:val="clear" w:color="auto" w:fill="D99594"/>
      </w:tcPr>
    </w:tblStylePr>
    <w:tblStylePr w:type="lastRow">
      <w:rPr>
        <w:color w:val="F2F2F2"/>
        <w:sz w:val="22"/>
      </w:rPr>
      <w:tblPr/>
      <w:tcPr>
        <w:shd w:val="clear" w:color="auto" w:fill="D99594"/>
      </w:tcPr>
    </w:tblStylePr>
    <w:tblStylePr w:type="firstCol">
      <w:rPr>
        <w:color w:val="F2F2F2"/>
        <w:sz w:val="22"/>
      </w:rPr>
      <w:tblPr/>
      <w:tcPr>
        <w:shd w:val="clear" w:color="auto" w:fill="D99594"/>
      </w:tcPr>
    </w:tblStylePr>
    <w:tblStylePr w:type="lastCol">
      <w:rPr>
        <w:color w:val="F2F2F2"/>
        <w:sz w:val="22"/>
      </w:rPr>
      <w:tblPr/>
      <w:tcPr>
        <w:shd w:val="clear" w:color="auto" w:fill="D99594"/>
      </w:tcPr>
    </w:tblStylePr>
    <w:tblStylePr w:type="band1Vert">
      <w:rPr>
        <w:color w:val="404040"/>
        <w:sz w:val="22"/>
      </w:rPr>
      <w:tblPr/>
    </w:tblStylePr>
    <w:tblStylePr w:type="band2Vert">
      <w:rPr>
        <w:color w:val="404040"/>
        <w:sz w:val="22"/>
      </w:rPr>
      <w:tblPr/>
      <w:tcPr>
        <w:shd w:val="clear" w:color="auto" w:fill="F2DBDB"/>
      </w:tcPr>
    </w:tblStylePr>
    <w:tblStylePr w:type="band1Horz">
      <w:rPr>
        <w:color w:val="404040"/>
        <w:sz w:val="22"/>
      </w:rPr>
      <w:tblPr/>
    </w:tblStylePr>
    <w:tblStylePr w:type="band2Horz">
      <w:rPr>
        <w:color w:val="404040"/>
        <w:sz w:val="22"/>
      </w:rPr>
      <w:tblPr/>
      <w:tcPr>
        <w:shd w:val="clear" w:color="auto" w:fill="F2DBDB"/>
      </w:tcPr>
    </w:tblStylePr>
  </w:style>
  <w:style w:type="table" w:customStyle="1" w:styleId="BorderedLined-Accent3">
    <w:name w:val="Bordered &amp; Lined - Accent 3"/>
    <w:basedOn w:val="Tabelanormal"/>
    <w:uiPriority w:val="99"/>
    <w:pPr>
      <w:spacing w:after="0" w:line="240" w:lineRule="auto"/>
    </w:pPr>
    <w:rPr>
      <w:lang w:eastAsia="pt-BR"/>
      <w:color w:val="404040"/>
      <w:sz w:val="20"/>
      <w:szCs w:val="20"/>
    </w:rPr>
    <w:tblPr>
      <w:tblStyleRowBandSize w:val="1"/>
      <w:tblStyleColBandSize w:val="1"/>
      <w:tblBorders>
        <w:top w:val="single" w:color="76923C" w:sz="4" w:space="0"/>
        <w:left w:val="single" w:color="76923C" w:sz="4" w:space="0"/>
        <w:bottom w:val="single" w:color="76923C" w:sz="4" w:space="0"/>
        <w:right w:val="single" w:color="76923C" w:sz="4" w:space="0"/>
        <w:insideH w:val="single" w:color="76923C" w:sz="4" w:space="0"/>
        <w:insideV w:val="single" w:color="76923C" w:sz="4" w:space="0"/>
      </w:tblBorders>
      <w:tblCellMar>
        <w:top w:w="96" w:type="dxa"/>
        <w:left w:w="170" w:type="dxa"/>
        <w:bottom w:w="96" w:type="dxa"/>
        <w:right w:w="170" w:type="dxa"/>
      </w:tblCellMar>
    </w:tblPr>
    <w:tblStylePr w:type="firstRow">
      <w:rPr>
        <w:color w:val="F2F2F2"/>
        <w:sz w:val="22"/>
      </w:rPr>
      <w:tblPr/>
      <w:tcPr>
        <w:shd w:val="clear" w:color="auto" w:fill="9BBB59"/>
      </w:tcPr>
    </w:tblStylePr>
    <w:tblStylePr w:type="lastRow">
      <w:rPr>
        <w:color w:val="F2F2F2"/>
        <w:sz w:val="22"/>
      </w:rPr>
      <w:tblPr/>
      <w:tcPr>
        <w:shd w:val="clear" w:color="auto" w:fill="9BBB59"/>
      </w:tcPr>
    </w:tblStylePr>
    <w:tblStylePr w:type="firstCol">
      <w:rPr>
        <w:color w:val="F2F2F2"/>
        <w:sz w:val="22"/>
      </w:rPr>
      <w:tblPr/>
      <w:tcPr>
        <w:shd w:val="clear" w:color="auto" w:fill="9BBB59"/>
      </w:tcPr>
    </w:tblStylePr>
    <w:tblStylePr w:type="lastCol">
      <w:rPr>
        <w:color w:val="F2F2F2"/>
        <w:sz w:val="22"/>
      </w:rPr>
      <w:tblPr/>
      <w:tcPr>
        <w:shd w:val="clear" w:color="auto" w:fill="9BBB59"/>
      </w:tcPr>
    </w:tblStylePr>
    <w:tblStylePr w:type="band1Vert">
      <w:rPr>
        <w:color w:val="404040"/>
        <w:sz w:val="22"/>
      </w:rPr>
      <w:tblPr/>
    </w:tblStylePr>
    <w:tblStylePr w:type="band2Vert">
      <w:rPr>
        <w:color w:val="404040"/>
        <w:sz w:val="22"/>
      </w:rPr>
      <w:tblPr/>
      <w:tcPr>
        <w:shd w:val="clear" w:color="auto" w:fill="EAF1DD"/>
      </w:tcPr>
    </w:tblStylePr>
    <w:tblStylePr w:type="band1Horz">
      <w:rPr>
        <w:color w:val="404040"/>
        <w:sz w:val="22"/>
      </w:rPr>
      <w:tblPr/>
    </w:tblStylePr>
    <w:tblStylePr w:type="band2Horz">
      <w:rPr>
        <w:color w:val="404040"/>
        <w:sz w:val="22"/>
      </w:rPr>
      <w:tblPr/>
      <w:tcPr>
        <w:shd w:val="clear" w:color="auto" w:fill="EAF1DD"/>
      </w:tcPr>
    </w:tblStylePr>
  </w:style>
  <w:style w:type="table" w:customStyle="1" w:styleId="BorderedLined-Accent4">
    <w:name w:val="Bordered &amp; Lined - Accent 4"/>
    <w:basedOn w:val="Tabelanormal"/>
    <w:uiPriority w:val="99"/>
    <w:pPr>
      <w:spacing w:after="0" w:line="240" w:lineRule="auto"/>
    </w:pPr>
    <w:rPr>
      <w:lang w:eastAsia="pt-BR"/>
      <w:color w:val="404040"/>
      <w:sz w:val="20"/>
      <w:szCs w:val="20"/>
    </w:rPr>
    <w:tblPr>
      <w:tblStyleRowBandSize w:val="1"/>
      <w:tblStyleColBandSize w:val="1"/>
      <w:tblBorders>
        <w:top w:val="single" w:color="8064A2" w:sz="4" w:space="0"/>
        <w:left w:val="single" w:color="8064A2" w:sz="4" w:space="0"/>
        <w:bottom w:val="single" w:color="8064A2" w:sz="4" w:space="0"/>
        <w:right w:val="single" w:color="8064A2" w:sz="4" w:space="0"/>
        <w:insideH w:val="single" w:color="8064A2" w:sz="4" w:space="0"/>
        <w:insideV w:val="single" w:color="8064A2" w:sz="4" w:space="0"/>
      </w:tblBorders>
      <w:tblCellMar>
        <w:top w:w="96" w:type="dxa"/>
        <w:left w:w="170" w:type="dxa"/>
        <w:bottom w:w="96" w:type="dxa"/>
        <w:right w:w="170" w:type="dxa"/>
      </w:tblCellMar>
    </w:tblPr>
    <w:tblStylePr w:type="firstRow">
      <w:rPr>
        <w:color w:val="F2F2F2"/>
        <w:sz w:val="22"/>
      </w:rPr>
      <w:tblPr/>
      <w:tcPr>
        <w:shd w:val="clear" w:color="auto" w:fill="B2A1C7"/>
      </w:tcPr>
    </w:tblStylePr>
    <w:tblStylePr w:type="lastRow">
      <w:rPr>
        <w:color w:val="F2F2F2"/>
        <w:sz w:val="22"/>
      </w:rPr>
      <w:tblPr/>
      <w:tcPr>
        <w:shd w:val="clear" w:color="auto" w:fill="B2A1C7"/>
      </w:tcPr>
    </w:tblStylePr>
    <w:tblStylePr w:type="firstCol">
      <w:rPr>
        <w:color w:val="F2F2F2"/>
        <w:sz w:val="22"/>
      </w:rPr>
      <w:tblPr/>
      <w:tcPr>
        <w:shd w:val="clear" w:color="auto" w:fill="B2A1C7"/>
      </w:tcPr>
    </w:tblStylePr>
    <w:tblStylePr w:type="lastCol">
      <w:rPr>
        <w:color w:val="F2F2F2"/>
        <w:sz w:val="22"/>
      </w:rPr>
      <w:tblPr/>
      <w:tcPr>
        <w:shd w:val="clear" w:color="auto" w:fill="B2A1C7"/>
      </w:tcPr>
    </w:tblStylePr>
    <w:tblStylePr w:type="band1Vert">
      <w:rPr>
        <w:color w:val="404040"/>
        <w:sz w:val="22"/>
      </w:rPr>
      <w:tblPr/>
    </w:tblStylePr>
    <w:tblStylePr w:type="band2Vert">
      <w:rPr>
        <w:color w:val="404040"/>
        <w:sz w:val="22"/>
      </w:rPr>
      <w:tblPr/>
      <w:tcPr>
        <w:shd w:val="clear" w:color="auto" w:fill="E5DFEC"/>
      </w:tcPr>
    </w:tblStylePr>
    <w:tblStylePr w:type="band1Horz">
      <w:rPr>
        <w:color w:val="404040"/>
        <w:sz w:val="22"/>
      </w:rPr>
      <w:tblPr/>
    </w:tblStylePr>
    <w:tblStylePr w:type="band2Horz">
      <w:rPr>
        <w:color w:val="404040"/>
        <w:sz w:val="22"/>
      </w:rPr>
      <w:tblPr/>
      <w:tcPr>
        <w:shd w:val="clear" w:color="auto" w:fill="E5DFEC"/>
      </w:tcPr>
    </w:tblStylePr>
  </w:style>
  <w:style w:type="table" w:customStyle="1" w:styleId="BorderedLined-Accent5">
    <w:name w:val="Bordered &amp; Lined - Accent 5"/>
    <w:basedOn w:val="Tabelanormal"/>
    <w:uiPriority w:val="99"/>
    <w:pPr>
      <w:spacing w:after="0" w:line="240" w:lineRule="auto"/>
    </w:pPr>
    <w:rPr>
      <w:lang w:eastAsia="pt-BR"/>
      <w:color w:val="404040"/>
      <w:sz w:val="20"/>
      <w:szCs w:val="20"/>
    </w:rPr>
    <w:tblPr>
      <w:tblStyleRowBandSize w:val="1"/>
      <w:tblStyleColBandSize w:val="1"/>
      <w:tblBorders>
        <w:top w:val="single" w:color="31849B" w:sz="4" w:space="0"/>
        <w:left w:val="single" w:color="31849B" w:sz="4" w:space="0"/>
        <w:bottom w:val="single" w:color="31849B" w:sz="4" w:space="0"/>
        <w:right w:val="single" w:color="31849B" w:sz="4" w:space="0"/>
        <w:insideH w:val="single" w:color="31849B" w:sz="4" w:space="0"/>
        <w:insideV w:val="single" w:color="31849B" w:sz="4" w:space="0"/>
      </w:tblBorders>
      <w:tblCellMar>
        <w:top w:w="96" w:type="dxa"/>
        <w:left w:w="170" w:type="dxa"/>
        <w:bottom w:w="96" w:type="dxa"/>
        <w:right w:w="170" w:type="dxa"/>
      </w:tblCellMar>
    </w:tblPr>
    <w:tblStylePr w:type="firstRow">
      <w:rPr>
        <w:color w:val="F2F2F2"/>
        <w:sz w:val="22"/>
      </w:rPr>
      <w:tblPr/>
      <w:tcPr>
        <w:shd w:val="clear" w:color="auto" w:fill="4BACC6"/>
      </w:tcPr>
    </w:tblStylePr>
    <w:tblStylePr w:type="lastRow">
      <w:rPr>
        <w:color w:val="F2F2F2"/>
        <w:sz w:val="22"/>
      </w:rPr>
      <w:tblPr/>
      <w:tcPr>
        <w:shd w:val="clear" w:color="auto" w:fill="4BACC6"/>
      </w:tcPr>
    </w:tblStylePr>
    <w:tblStylePr w:type="firstCol">
      <w:rPr>
        <w:color w:val="F2F2F2"/>
        <w:sz w:val="22"/>
      </w:rPr>
      <w:tblPr/>
      <w:tcPr>
        <w:shd w:val="clear" w:color="auto" w:fill="4BACC6"/>
      </w:tcPr>
    </w:tblStylePr>
    <w:tblStylePr w:type="lastCol">
      <w:rPr>
        <w:color w:val="F2F2F2"/>
        <w:sz w:val="22"/>
      </w:rPr>
      <w:tblPr/>
      <w:tcPr>
        <w:shd w:val="clear" w:color="auto" w:fill="4BACC6"/>
      </w:tcPr>
    </w:tblStylePr>
    <w:tblStylePr w:type="band1Vert">
      <w:rPr>
        <w:color w:val="404040"/>
        <w:sz w:val="22"/>
      </w:rPr>
      <w:tblPr/>
    </w:tblStylePr>
    <w:tblStylePr w:type="band2Vert">
      <w:rPr>
        <w:color w:val="404040"/>
        <w:sz w:val="22"/>
      </w:rPr>
      <w:tblPr/>
      <w:tcPr>
        <w:shd w:val="clear" w:color="auto" w:fill="DAEEF3"/>
      </w:tcPr>
    </w:tblStylePr>
    <w:tblStylePr w:type="band1Horz">
      <w:rPr>
        <w:color w:val="404040"/>
        <w:sz w:val="22"/>
      </w:rPr>
      <w:tblPr/>
    </w:tblStylePr>
    <w:tblStylePr w:type="band2Horz">
      <w:rPr>
        <w:color w:val="404040"/>
        <w:sz w:val="22"/>
      </w:rPr>
      <w:tblPr/>
      <w:tcPr>
        <w:shd w:val="clear" w:color="auto" w:fill="DAEEF3"/>
      </w:tcPr>
    </w:tblStylePr>
  </w:style>
  <w:style w:type="table" w:customStyle="1" w:styleId="BorderedLined-Accent6">
    <w:name w:val="Bordered &amp; Lined - Accent 6"/>
    <w:basedOn w:val="Tabelanormal"/>
    <w:uiPriority w:val="99"/>
    <w:pPr>
      <w:spacing w:after="0" w:line="240" w:lineRule="auto"/>
    </w:pPr>
    <w:rPr>
      <w:lang w:eastAsia="pt-BR"/>
      <w:color w:val="404040"/>
      <w:sz w:val="20"/>
      <w:szCs w:val="20"/>
    </w:rPr>
    <w:tblPr>
      <w:tblStyleRowBandSize w:val="1"/>
      <w:tblStyleColBandSize w:val="1"/>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CellMar>
        <w:top w:w="96" w:type="dxa"/>
        <w:left w:w="170" w:type="dxa"/>
        <w:bottom w:w="96" w:type="dxa"/>
        <w:right w:w="170" w:type="dxa"/>
      </w:tblCellMar>
    </w:tblPr>
    <w:tblStylePr w:type="firstRow">
      <w:rPr>
        <w:color w:val="F2F2F2"/>
        <w:sz w:val="22"/>
      </w:rPr>
      <w:tblPr/>
      <w:tcPr>
        <w:shd w:val="clear" w:color="auto" w:fill="F79646"/>
      </w:tcPr>
    </w:tblStylePr>
    <w:tblStylePr w:type="lastRow">
      <w:rPr>
        <w:color w:val="F2F2F2"/>
        <w:sz w:val="22"/>
      </w:rPr>
      <w:tblPr/>
      <w:tcPr>
        <w:shd w:val="clear" w:color="auto" w:fill="F79646"/>
      </w:tcPr>
    </w:tblStylePr>
    <w:tblStylePr w:type="firstCol">
      <w:rPr>
        <w:color w:val="F2F2F2"/>
        <w:sz w:val="22"/>
      </w:rPr>
      <w:tblPr/>
      <w:tcPr>
        <w:shd w:val="clear" w:color="auto" w:fill="F79646"/>
      </w:tcPr>
    </w:tblStylePr>
    <w:tblStylePr w:type="lastCol">
      <w:rPr>
        <w:color w:val="F2F2F2"/>
        <w:sz w:val="22"/>
      </w:rPr>
      <w:tblPr/>
      <w:tcPr>
        <w:shd w:val="clear" w:color="auto" w:fill="F79646"/>
      </w:tcPr>
    </w:tblStylePr>
    <w:tblStylePr w:type="band1Vert">
      <w:rPr>
        <w:color w:val="404040"/>
        <w:sz w:val="22"/>
      </w:rPr>
      <w:tblPr/>
    </w:tblStylePr>
    <w:tblStylePr w:type="band2Vert">
      <w:rPr>
        <w:color w:val="404040"/>
        <w:sz w:val="22"/>
      </w:rPr>
      <w:tblPr/>
      <w:tcPr>
        <w:shd w:val="clear" w:color="auto" w:fill="FDE9D9"/>
      </w:tcPr>
    </w:tblStylePr>
    <w:tblStylePr w:type="band1Horz">
      <w:rPr>
        <w:color w:val="404040"/>
        <w:sz w:val="22"/>
      </w:rPr>
      <w:tblPr/>
    </w:tblStylePr>
    <w:tblStylePr w:type="band2Horz">
      <w:rPr>
        <w:color w:val="404040"/>
        <w:sz w:val="22"/>
      </w:rPr>
      <w:tblPr/>
      <w:tcPr>
        <w:shd w:val="clear" w:color="auto" w:fill="FDE9D9"/>
      </w:tcPr>
    </w:tblStylePr>
  </w:style>
  <w:style w:type="table" w:styleId="Tabelacomgrade">
    <w:name w:val="Table Grid"/>
    <w:basedOn w:val="Tabelanormal"/>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eriodicos.utfpr.edu.br/cgt" TargetMode="External"/><Relationship Id="rId3" Type="http://schemas.openxmlformats.org/officeDocument/2006/relationships/hyperlink" Target="https://periodicos.ufsm.br/seculoxxi/article/view/17033" TargetMode="External"/><Relationship Id="rId4" Type="http://schemas.openxmlformats.org/officeDocument/2006/relationships/hyperlink" Target="http://www.ihu.unisinos.br/78-noticias/573045-o-comum-e-a-revolucao-dizem-dardot-e-laval" TargetMode="External"/><Relationship Id="rId5" Type="http://schemas.openxmlformats.org/officeDocument/2006/relationships/hyperlink" Target="https://faccaoficticia.noblogs.org/files/2015/08/O-Sujeito-e-o-PoderFoucalt.cleaned.pdf" TargetMode="External"/><Relationship Id="rId6" Type="http://schemas.openxmlformats.org/officeDocument/2006/relationships/hyperlink" Target="https://revistas.pucsp.br/verve/article/view/5017/3559" TargetMode="External"/><Relationship Id="rId7" Type="http://schemas.openxmlformats.org/officeDocument/2006/relationships/hyperlink" Target="https://www.academia.edu/2387654/IDENTIDADE_DE_G&#202;NERO_E_POL&#205;TICAS_DE_AFIRMA&#199;&#195;O_IDENTIT&#193;RIA" TargetMode="External"/><Relationship Id="rId8" Type="http://schemas.openxmlformats.org/officeDocument/2006/relationships/hyperlink" Target="http://www.scielo.br/scielo.php?script=sci_arttext&amp;pid=S0104026X2001000200012&amp;lng=en&amp;nrm=iso" TargetMode="External"/><Relationship Id="rId9" Type="http://schemas.openxmlformats.org/officeDocument/2006/relationships/hyperlink" Target="http://www.scielo.br/scielo.php?script=sci_arttext&amp;pid=S0104026X2011000100002&amp;lng=en&amp;nrm=iso" TargetMode="External"/><Relationship Id="rId10" Type="http://schemas.openxmlformats.org/officeDocument/2006/relationships/hyperlink" Target="https://i-d.vice.com/en_uk/article/jgeb4b/paul-b-preciado-one-day-well-see-assigning-gender-at-birth-as-brutal" TargetMode="External"/><Relationship Id="rId11" Type="http://schemas.openxmlformats.org/officeDocument/2006/relationships/hyperlink" Target="https://seer.ufrgs.br/educacaoerealidade/article/view/71721/40667" TargetMode="External"/><Relationship Id="rId12" Type="http://schemas.openxmlformats.org/officeDocument/2006/relationships/hyperlink" Target="https://periodicos.utfpr.edu.br/cgt" TargetMode="External"/><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otnotes" Target="footnotes.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4.jpeg"/>
</Relationships>
</file>

<file path=word/_rels/footer2.xml.rels><?xml version="1.0" encoding="UTF-8"?>
<Relationships xmlns="http://schemas.openxmlformats.org/package/2006/relationships"><Relationship Id="rId1" Type="http://schemas.openxmlformats.org/officeDocument/2006/relationships/image" Target="media/image5.jpeg"/>
</Relationships>
</file>

<file path=word/_rels/footnotes.xml.rels><?xml version="1.0" encoding="UTF-8"?>
<Relationships xmlns="http://schemas.openxmlformats.org/package/2006/relationships"><Relationship Id="rId1" Type="http://schemas.openxmlformats.org/officeDocument/2006/relationships/hyperlink" Target="https://cpers.com.br/dia-da-visibilidade-trans-destaca-a-luta-pelos-direitos-da-populacao-lgbt/" TargetMode="External"/><Relationship Id="rId2" Type="http://schemas.openxmlformats.org/officeDocument/2006/relationships/hyperlink" Target="http://www.generonumero.media/transfobia-11-pessoas-trans-sao-agredidas-a-cada-dia-no-brasil-2/" TargetMode="External"/><Relationship Id="rId3" Type="http://schemas.openxmlformats.org/officeDocument/2006/relationships/hyperlink" Target="http://www.planalto.gov.br/ccivil_03/leis/l7716.htm" TargetMode="External"/><Relationship Id="rId4" Type="http://schemas.openxmlformats.org/officeDocument/2006/relationships/hyperlink" Target="http://www.cremesp.org.br/library/modulos/legislacao/versao_impressao.php?id=7896" TargetMode="External"/><Relationship Id="rId5" Type="http://schemas.openxmlformats.org/officeDocument/2006/relationships/hyperlink" Target="http://www.lex.com.br/legis_25099456_PORTARIA_N_2803_DE_19_DE_NOVEMBRO_DE_2013.aspx" TargetMode="External"/><Relationship Id="rId6" Type="http://schemas.openxmlformats.org/officeDocument/2006/relationships/hyperlink" Target="https://revistaforum.com.br/lgbt/fantastico-recebe-enxurrada-de-criticas-apos-reportagem-considerada-transfobica/" TargetMode="External"/><Relationship Id="rId7" Type="http://schemas.openxmlformats.org/officeDocument/2006/relationships/hyperlink" Target="https://www.camara.leg.br/proposicoesWeb/prop_mostrarintegra;jsessionid=C1871A314D57BA3CA50048972E5355B7.proposicoesWebExterno1?codteor=1282632&amp;filename=Tramitacao-PL+8032/2014" TargetMode="External"/><Relationship Id="rId8" Type="http://schemas.openxmlformats.org/officeDocument/2006/relationships/hyperlink" Target="http://www.in.gov.br/en/web/dou/-/resolucao-n-2.265-de-20-de-setembro-de-2019-237203294" TargetMode="Externa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jpeg"/>
</Relationships>
</file>

<file path=word/_rels/header2.xml.rels><?xml version="1.0" encoding="UTF-8"?>
<Relationships xmlns="http://schemas.openxmlformats.org/package/2006/relationships"><Relationship Id="rId1" Type="http://schemas.openxmlformats.org/officeDocument/2006/relationships/image" Target="media/image3.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Arial"/>
        <a:cs typeface="Arial"/>
      </a:majorFont>
      <a:minorFont>
        <a:latin typeface="Calibri"/>
        <a:ea typeface="Arial"/>
        <a:cs typeface="Arial"/>
      </a:minorFont>
    </a:fontScheme>
    <a:fmtScheme name="Escritório">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Application>LibreOffice/6.4.3.2$Windows_X86_64 LibreOffice_project/747b5d0ebf89f41c860ec2a39efd7cb15b54f2d8</Application>
  <Pages>18</Pages>
  <Words>7685</Words>
  <Characters>42321</Characters>
  <CharactersWithSpaces>50325</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2020-04-29T15:52:00Z</dcterms:created>
  <dc:creator>marco moraes</dc:creator>
  <dc:description/>
  <dc:language>pt-BR</dc:language>
  <cp:lastModifiedBy/>
  <dcterms:modified xsi:type="dcterms:W3CDTF">2020-04-29T17:35:00Z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